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A2F11" w:rsidRPr="004A37CD" w:rsidTr="00EF755C">
        <w:trPr>
          <w:jc w:val="center"/>
        </w:trPr>
        <w:tc>
          <w:tcPr>
            <w:tcW w:w="3284" w:type="dxa"/>
            <w:vAlign w:val="center"/>
          </w:tcPr>
          <w:p w:rsidR="008A2F11" w:rsidRPr="004A37CD" w:rsidRDefault="008A2F11" w:rsidP="00EF755C">
            <w:pPr>
              <w:pStyle w:val="Header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vAlign w:val="center"/>
          </w:tcPr>
          <w:p w:rsidR="008A2F11" w:rsidRPr="004A37CD" w:rsidRDefault="008A2F11" w:rsidP="00EF755C">
            <w:pPr>
              <w:pStyle w:val="Header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>
                  <wp:extent cx="730250" cy="74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:rsidR="008A2F11" w:rsidRPr="004A37CD" w:rsidRDefault="008A2F11" w:rsidP="00EF755C">
            <w:pPr>
              <w:pStyle w:val="Header"/>
              <w:spacing w:before="0"/>
              <w:jc w:val="center"/>
              <w:rPr>
                <w:rFonts w:ascii="Times New Roman" w:hAnsi="Times New Roman"/>
              </w:rPr>
            </w:pPr>
          </w:p>
        </w:tc>
      </w:tr>
    </w:tbl>
    <w:p w:rsidR="008A2F11" w:rsidRPr="004A37CD" w:rsidRDefault="008A2F11" w:rsidP="008A2F11">
      <w:pPr>
        <w:autoSpaceDE w:val="0"/>
        <w:autoSpaceDN w:val="0"/>
        <w:adjustRightInd w:val="0"/>
        <w:jc w:val="both"/>
        <w:rPr>
          <w:sz w:val="22"/>
          <w:szCs w:val="22"/>
          <w:lang w:val="lt-LT"/>
        </w:rPr>
      </w:pPr>
    </w:p>
    <w:p w:rsidR="008A2F11" w:rsidRPr="004A37CD" w:rsidRDefault="008A2F11" w:rsidP="008A2F11">
      <w:pPr>
        <w:jc w:val="center"/>
        <w:rPr>
          <w:b/>
          <w:bCs/>
          <w:sz w:val="22"/>
          <w:szCs w:val="22"/>
          <w:lang w:val="lt-LT"/>
        </w:rPr>
      </w:pPr>
      <w:r w:rsidRPr="004A37CD">
        <w:rPr>
          <w:b/>
          <w:bCs/>
          <w:sz w:val="22"/>
          <w:szCs w:val="22"/>
          <w:lang w:val="lt-LT"/>
        </w:rPr>
        <w:t xml:space="preserve">COURSE UNIT </w:t>
      </w:r>
      <w:r w:rsidRPr="004A37CD">
        <w:rPr>
          <w:b/>
          <w:sz w:val="22"/>
          <w:szCs w:val="22"/>
          <w:lang w:val="en-GB"/>
        </w:rPr>
        <w:t>(MODULE)</w:t>
      </w:r>
      <w:r w:rsidRPr="004A37CD">
        <w:rPr>
          <w:b/>
          <w:bCs/>
          <w:sz w:val="22"/>
          <w:szCs w:val="22"/>
          <w:lang w:val="lt-LT"/>
        </w:rPr>
        <w:t xml:space="preserve"> DESCRIPTION</w:t>
      </w:r>
    </w:p>
    <w:p w:rsidR="008A2F11" w:rsidRPr="004A37CD" w:rsidRDefault="008A2F11" w:rsidP="008A2F11">
      <w:pPr>
        <w:jc w:val="center"/>
        <w:rPr>
          <w:b/>
          <w:bCs/>
          <w:sz w:val="22"/>
          <w:szCs w:val="22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0"/>
        <w:gridCol w:w="2464"/>
      </w:tblGrid>
      <w:tr w:rsidR="008A2F11" w:rsidRPr="004A37CD" w:rsidTr="00EF755C">
        <w:tc>
          <w:tcPr>
            <w:tcW w:w="3750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Course unit (module) title</w:t>
            </w:r>
          </w:p>
        </w:tc>
        <w:tc>
          <w:tcPr>
            <w:tcW w:w="1250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Code</w:t>
            </w:r>
          </w:p>
        </w:tc>
      </w:tr>
      <w:tr w:rsidR="008A2F11" w:rsidRPr="004A37CD" w:rsidTr="00EF755C">
        <w:tc>
          <w:tcPr>
            <w:tcW w:w="3750" w:type="pct"/>
          </w:tcPr>
          <w:p w:rsidR="008A2F11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  <w:p w:rsidR="003E0EF1" w:rsidRDefault="003E0EF1" w:rsidP="003E0EF1">
            <w:r w:rsidRPr="005D22E8">
              <w:t>Re</w:t>
            </w:r>
            <w:r>
              <w:t>th</w:t>
            </w:r>
            <w:r w:rsidRPr="005D22E8">
              <w:t>inking An</w:t>
            </w:r>
            <w:r>
              <w:t>t</w:t>
            </w:r>
            <w:r w:rsidRPr="005D22E8">
              <w:t>isemitism: the infl</w:t>
            </w:r>
            <w:r>
              <w:t>uence of the past on the presents</w:t>
            </w:r>
          </w:p>
          <w:p w:rsidR="008A2F11" w:rsidRPr="009D2DDB" w:rsidRDefault="008A2F11" w:rsidP="009D2634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250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8A2F11" w:rsidRPr="004A37CD" w:rsidRDefault="008A2F11" w:rsidP="008A2F11">
      <w:pPr>
        <w:jc w:val="both"/>
        <w:rPr>
          <w:b/>
          <w:bCs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5154"/>
      </w:tblGrid>
      <w:tr w:rsidR="008A2F11" w:rsidRPr="004A37CD" w:rsidTr="00EF755C">
        <w:tc>
          <w:tcPr>
            <w:tcW w:w="2385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Lecturer(s)</w:t>
            </w:r>
          </w:p>
        </w:tc>
        <w:tc>
          <w:tcPr>
            <w:tcW w:w="2615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Department(s) where the course unit (module) is delivered</w:t>
            </w:r>
          </w:p>
        </w:tc>
      </w:tr>
      <w:tr w:rsidR="008A2F11" w:rsidRPr="004A37CD" w:rsidTr="00EF755C">
        <w:tc>
          <w:tcPr>
            <w:tcW w:w="2385" w:type="pct"/>
          </w:tcPr>
          <w:p w:rsidR="008A2F11" w:rsidRPr="004A37CD" w:rsidRDefault="009D2634" w:rsidP="00EF755C">
            <w:pPr>
              <w:jc w:val="both"/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 xml:space="preserve">Assoc. Prof. </w:t>
            </w:r>
            <w:bookmarkStart w:id="0" w:name="_GoBack"/>
            <w:r>
              <w:rPr>
                <w:bCs/>
                <w:sz w:val="22"/>
                <w:szCs w:val="22"/>
                <w:lang w:val="lt-LT"/>
              </w:rPr>
              <w:t>Jurgita Verbickienė</w:t>
            </w:r>
          </w:p>
          <w:bookmarkEnd w:id="0"/>
          <w:p w:rsidR="008A2F11" w:rsidRPr="004A37CD" w:rsidRDefault="008A2F11" w:rsidP="00EF755C">
            <w:pPr>
              <w:jc w:val="both"/>
              <w:rPr>
                <w:bCs/>
                <w:sz w:val="22"/>
                <w:szCs w:val="22"/>
                <w:lang w:val="lt-LT"/>
              </w:rPr>
            </w:pPr>
          </w:p>
          <w:p w:rsidR="008A2F11" w:rsidRPr="004A37CD" w:rsidRDefault="008A2F11" w:rsidP="00EF755C">
            <w:pPr>
              <w:jc w:val="both"/>
              <w:rPr>
                <w:bCs/>
                <w:sz w:val="22"/>
                <w:szCs w:val="22"/>
              </w:rPr>
            </w:pPr>
          </w:p>
          <w:p w:rsidR="008A2F11" w:rsidRPr="004A37CD" w:rsidRDefault="008A2F11" w:rsidP="00EF755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5" w:type="pct"/>
          </w:tcPr>
          <w:p w:rsidR="008A2F11" w:rsidRPr="004A37CD" w:rsidRDefault="008A2F11" w:rsidP="00EF75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A37CD">
              <w:rPr>
                <w:rFonts w:ascii="Times New Roman" w:hAnsi="Times New Roman" w:cs="Times New Roman"/>
                <w:color w:val="auto"/>
                <w:lang w:val="en-GB"/>
              </w:rPr>
              <w:t>Vilnius University, Faculty of History</w:t>
            </w:r>
          </w:p>
          <w:p w:rsidR="008A2F11" w:rsidRPr="004A37CD" w:rsidRDefault="008A2F11" w:rsidP="00EF755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A37CD">
              <w:rPr>
                <w:rFonts w:ascii="Times New Roman" w:hAnsi="Times New Roman" w:cs="Times New Roman"/>
                <w:color w:val="auto"/>
                <w:lang w:val="en-GB"/>
              </w:rPr>
              <w:t>Department of Theory of History and History of Culture</w:t>
            </w:r>
          </w:p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A37CD">
              <w:rPr>
                <w:sz w:val="22"/>
                <w:szCs w:val="22"/>
                <w:lang w:val="en-GB"/>
              </w:rPr>
              <w:t>Universiteto</w:t>
            </w:r>
            <w:proofErr w:type="spellEnd"/>
            <w:r w:rsidRPr="004A37CD">
              <w:rPr>
                <w:sz w:val="22"/>
                <w:szCs w:val="22"/>
                <w:lang w:val="en-GB"/>
              </w:rPr>
              <w:t xml:space="preserve"> str. 7, Vilnius</w:t>
            </w:r>
          </w:p>
        </w:tc>
      </w:tr>
    </w:tbl>
    <w:p w:rsidR="008A2F11" w:rsidRPr="004A37CD" w:rsidRDefault="008A2F11" w:rsidP="008A2F11">
      <w:pPr>
        <w:jc w:val="both"/>
        <w:rPr>
          <w:b/>
          <w:bCs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4874"/>
      </w:tblGrid>
      <w:tr w:rsidR="008A2F11" w:rsidRPr="004A37CD" w:rsidTr="00EF755C">
        <w:tc>
          <w:tcPr>
            <w:tcW w:w="2527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Study cycle</w:t>
            </w:r>
          </w:p>
        </w:tc>
        <w:tc>
          <w:tcPr>
            <w:tcW w:w="2473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Type of the course unit (module)</w:t>
            </w:r>
          </w:p>
        </w:tc>
      </w:tr>
      <w:tr w:rsidR="008A2F11" w:rsidRPr="004A37CD" w:rsidTr="00EF755C">
        <w:tc>
          <w:tcPr>
            <w:tcW w:w="252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Bachelor</w:t>
            </w:r>
          </w:p>
        </w:tc>
        <w:tc>
          <w:tcPr>
            <w:tcW w:w="2473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Elective</w:t>
            </w:r>
          </w:p>
        </w:tc>
      </w:tr>
    </w:tbl>
    <w:p w:rsidR="008A2F11" w:rsidRPr="004A37CD" w:rsidRDefault="008A2F11" w:rsidP="008A2F11">
      <w:pPr>
        <w:jc w:val="both"/>
        <w:rPr>
          <w:b/>
          <w:bCs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3"/>
        <w:gridCol w:w="3283"/>
      </w:tblGrid>
      <w:tr w:rsidR="008A2F11" w:rsidRPr="004A37CD" w:rsidTr="00EF755C">
        <w:tc>
          <w:tcPr>
            <w:tcW w:w="1668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Mode of delivery</w:t>
            </w:r>
          </w:p>
        </w:tc>
        <w:tc>
          <w:tcPr>
            <w:tcW w:w="1666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Period when the course unit (module) is delivered</w:t>
            </w:r>
          </w:p>
        </w:tc>
        <w:tc>
          <w:tcPr>
            <w:tcW w:w="1667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Language(s) of instruction</w:t>
            </w:r>
          </w:p>
        </w:tc>
      </w:tr>
      <w:tr w:rsidR="008A2F11" w:rsidRPr="004A37CD" w:rsidTr="00EF755C">
        <w:tc>
          <w:tcPr>
            <w:tcW w:w="1668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Face to face</w:t>
            </w:r>
          </w:p>
        </w:tc>
        <w:tc>
          <w:tcPr>
            <w:tcW w:w="1666" w:type="pct"/>
          </w:tcPr>
          <w:p w:rsidR="008A2F11" w:rsidRPr="004A37CD" w:rsidRDefault="009D2634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667" w:type="pct"/>
          </w:tcPr>
          <w:p w:rsidR="008A2F11" w:rsidRPr="004A37CD" w:rsidRDefault="009D2634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Lithuanian</w:t>
            </w:r>
          </w:p>
        </w:tc>
      </w:tr>
    </w:tbl>
    <w:p w:rsidR="008A2F11" w:rsidRPr="004A37CD" w:rsidRDefault="008A2F11" w:rsidP="008A2F11">
      <w:pPr>
        <w:jc w:val="both"/>
        <w:rPr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947"/>
      </w:tblGrid>
      <w:tr w:rsidR="008A2F11" w:rsidRPr="004A37CD" w:rsidTr="00EF755C">
        <w:tc>
          <w:tcPr>
            <w:tcW w:w="5000" w:type="pct"/>
            <w:gridSpan w:val="2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Requirements for students</w:t>
            </w:r>
          </w:p>
        </w:tc>
      </w:tr>
      <w:tr w:rsidR="008A2F11" w:rsidRPr="004A37CD" w:rsidTr="00EF755C">
        <w:tc>
          <w:tcPr>
            <w:tcW w:w="2490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Prerequisites:</w:t>
            </w:r>
          </w:p>
          <w:p w:rsidR="008A2F11" w:rsidRPr="004A37CD" w:rsidRDefault="003E0EF1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None</w:t>
            </w:r>
          </w:p>
        </w:tc>
        <w:tc>
          <w:tcPr>
            <w:tcW w:w="2510" w:type="pct"/>
          </w:tcPr>
          <w:p w:rsidR="008A2F11" w:rsidRPr="004A37CD" w:rsidRDefault="008A2F11" w:rsidP="00EF755C">
            <w:pPr>
              <w:pStyle w:val="CommentText"/>
              <w:rPr>
                <w:sz w:val="22"/>
                <w:szCs w:val="22"/>
                <w:lang w:val="en-GB"/>
              </w:rPr>
            </w:pPr>
            <w:r w:rsidRPr="004A37CD">
              <w:rPr>
                <w:b/>
                <w:sz w:val="22"/>
                <w:szCs w:val="22"/>
                <w:lang w:val="en-GB"/>
              </w:rPr>
              <w:t>Additional requirements</w:t>
            </w:r>
            <w:r w:rsidRPr="004A37CD">
              <w:rPr>
                <w:b/>
                <w:bCs/>
                <w:sz w:val="22"/>
                <w:szCs w:val="22"/>
                <w:lang w:val="en-GB"/>
              </w:rPr>
              <w:t xml:space="preserve"> (if any):</w:t>
            </w:r>
          </w:p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None</w:t>
            </w:r>
          </w:p>
        </w:tc>
      </w:tr>
    </w:tbl>
    <w:p w:rsidR="008A2F11" w:rsidRPr="004A37CD" w:rsidRDefault="008A2F11" w:rsidP="008A2F11">
      <w:pPr>
        <w:jc w:val="both"/>
        <w:rPr>
          <w:b/>
          <w:bCs/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8A2F11" w:rsidRPr="004A37CD" w:rsidTr="00EF755C">
        <w:tc>
          <w:tcPr>
            <w:tcW w:w="667" w:type="pct"/>
            <w:shd w:val="clear" w:color="auto" w:fill="E6E6E6"/>
          </w:tcPr>
          <w:p w:rsidR="008A2F11" w:rsidRPr="004A37CD" w:rsidRDefault="008A2F11" w:rsidP="00EF755C">
            <w:pPr>
              <w:pStyle w:val="CommentText"/>
              <w:jc w:val="center"/>
              <w:rPr>
                <w:sz w:val="22"/>
                <w:szCs w:val="22"/>
                <w:lang w:val="en-GB"/>
              </w:rPr>
            </w:pPr>
            <w:r w:rsidRPr="004A37CD">
              <w:rPr>
                <w:b/>
                <w:sz w:val="22"/>
                <w:szCs w:val="22"/>
                <w:lang w:val="en-GB"/>
              </w:rPr>
              <w:t>Course (module) volume in credits</w:t>
            </w:r>
          </w:p>
        </w:tc>
        <w:tc>
          <w:tcPr>
            <w:tcW w:w="667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Total student’s workload</w:t>
            </w:r>
          </w:p>
        </w:tc>
        <w:tc>
          <w:tcPr>
            <w:tcW w:w="667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Contact hours</w:t>
            </w:r>
          </w:p>
        </w:tc>
        <w:tc>
          <w:tcPr>
            <w:tcW w:w="667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Self-study hours</w:t>
            </w:r>
          </w:p>
        </w:tc>
      </w:tr>
      <w:tr w:rsidR="008A2F11" w:rsidRPr="004A37CD" w:rsidTr="00EF755C">
        <w:tc>
          <w:tcPr>
            <w:tcW w:w="66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66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132</w:t>
            </w:r>
            <w:r w:rsidR="003E0EF1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7" w:type="pct"/>
          </w:tcPr>
          <w:p w:rsidR="008A2F11" w:rsidRPr="003E0EF1" w:rsidRDefault="009D2634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3E0EF1">
              <w:rPr>
                <w:sz w:val="22"/>
                <w:szCs w:val="22"/>
                <w:lang w:val="en-GB"/>
              </w:rPr>
              <w:t>53</w:t>
            </w:r>
          </w:p>
          <w:p w:rsidR="008A2F11" w:rsidRPr="003E0EF1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A2F11" w:rsidRPr="003E0EF1" w:rsidRDefault="008A2F11" w:rsidP="00EF7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8A2F11" w:rsidRPr="003E0EF1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3E0EF1">
              <w:rPr>
                <w:sz w:val="22"/>
                <w:szCs w:val="22"/>
                <w:lang w:val="en-GB"/>
              </w:rPr>
              <w:t xml:space="preserve"> </w:t>
            </w:r>
            <w:r w:rsidR="003E0EF1" w:rsidRPr="003E0EF1">
              <w:rPr>
                <w:sz w:val="22"/>
                <w:szCs w:val="22"/>
                <w:lang w:val="en-GB"/>
              </w:rPr>
              <w:t>81</w:t>
            </w:r>
          </w:p>
        </w:tc>
      </w:tr>
    </w:tbl>
    <w:p w:rsidR="008A2F11" w:rsidRPr="004A37CD" w:rsidRDefault="008A2F11" w:rsidP="008A2F11">
      <w:pPr>
        <w:jc w:val="both"/>
        <w:rPr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9"/>
        <w:gridCol w:w="2749"/>
        <w:gridCol w:w="2816"/>
      </w:tblGrid>
      <w:tr w:rsidR="008A2F11" w:rsidRPr="004A37CD" w:rsidTr="00EF755C">
        <w:tc>
          <w:tcPr>
            <w:tcW w:w="5000" w:type="pct"/>
            <w:gridSpan w:val="3"/>
            <w:shd w:val="clear" w:color="auto" w:fill="E6E6E6"/>
            <w:vAlign w:val="center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Purpose of the course unit (module): programme competences to be developed</w:t>
            </w:r>
          </w:p>
        </w:tc>
      </w:tr>
      <w:tr w:rsidR="008A2F11" w:rsidRPr="004A37CD" w:rsidTr="00EF755C">
        <w:tc>
          <w:tcPr>
            <w:tcW w:w="5000" w:type="pct"/>
            <w:gridSpan w:val="3"/>
            <w:vAlign w:val="center"/>
          </w:tcPr>
          <w:p w:rsidR="008A2F11" w:rsidRPr="004A37CD" w:rsidRDefault="008A2F11" w:rsidP="00FA1C3F">
            <w:pPr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 xml:space="preserve">The aim of this course is to provide the students with basic knowledge of </w:t>
            </w:r>
            <w:r w:rsidR="003E0EF1">
              <w:rPr>
                <w:sz w:val="22"/>
                <w:szCs w:val="22"/>
                <w:lang w:val="en-GB"/>
              </w:rPr>
              <w:t>Antisemitism history from beginning of phenomenon till present day</w:t>
            </w:r>
            <w:r w:rsidR="00FA1C3F">
              <w:rPr>
                <w:sz w:val="22"/>
                <w:szCs w:val="22"/>
                <w:lang w:val="en-GB"/>
              </w:rPr>
              <w:t xml:space="preserve">s, to develop </w:t>
            </w:r>
            <w:r w:rsidRPr="004A37CD">
              <w:rPr>
                <w:sz w:val="22"/>
                <w:szCs w:val="22"/>
                <w:lang w:val="en-GB"/>
              </w:rPr>
              <w:t xml:space="preserve">skills to interpret and contextualize </w:t>
            </w:r>
            <w:r w:rsidR="00FA1C3F">
              <w:rPr>
                <w:sz w:val="22"/>
                <w:szCs w:val="22"/>
                <w:lang w:val="en-GB"/>
              </w:rPr>
              <w:t>Antisemitism cases, t</w:t>
            </w:r>
            <w:r w:rsidR="00CC455A">
              <w:rPr>
                <w:sz w:val="22"/>
                <w:szCs w:val="22"/>
                <w:lang w:val="en-GB"/>
              </w:rPr>
              <w:t xml:space="preserve">o understand reasons and </w:t>
            </w:r>
            <w:r w:rsidR="002600E4">
              <w:rPr>
                <w:sz w:val="22"/>
                <w:szCs w:val="22"/>
                <w:lang w:val="en-GB"/>
              </w:rPr>
              <w:t>outcomes</w:t>
            </w:r>
            <w:r w:rsidR="00FA1C3F">
              <w:rPr>
                <w:sz w:val="22"/>
                <w:szCs w:val="22"/>
                <w:lang w:val="en-GB"/>
              </w:rPr>
              <w:t xml:space="preserve"> of Antisemitism spreading, changing Antisemitism ideas and forms in the different processes of social development.  </w:t>
            </w:r>
            <w:r w:rsidRPr="004A37CD">
              <w:rPr>
                <w:sz w:val="22"/>
                <w:szCs w:val="22"/>
                <w:lang w:val="en-GB"/>
              </w:rPr>
              <w:t xml:space="preserve">During this course students are taught about the main events, focal phenomena and key notions </w:t>
            </w:r>
            <w:r w:rsidR="00FA1C3F">
              <w:rPr>
                <w:sz w:val="22"/>
                <w:szCs w:val="22"/>
                <w:lang w:val="en-GB"/>
              </w:rPr>
              <w:t xml:space="preserve">of </w:t>
            </w:r>
            <w:proofErr w:type="spellStart"/>
            <w:r w:rsidR="00FA1C3F">
              <w:rPr>
                <w:sz w:val="22"/>
                <w:szCs w:val="22"/>
                <w:lang w:val="en-GB"/>
              </w:rPr>
              <w:t>Antisemism</w:t>
            </w:r>
            <w:proofErr w:type="spellEnd"/>
            <w:r w:rsidR="00FA1C3F">
              <w:rPr>
                <w:sz w:val="22"/>
                <w:szCs w:val="22"/>
                <w:lang w:val="en-GB"/>
              </w:rPr>
              <w:t xml:space="preserve">, try to recognise, identify and explain cases of different form of Antisemitism.  </w:t>
            </w:r>
            <w:r w:rsidRPr="002600E4">
              <w:rPr>
                <w:sz w:val="22"/>
                <w:szCs w:val="22"/>
                <w:lang w:val="en-GB"/>
              </w:rPr>
              <w:t xml:space="preserve">Holocaust and post-Holocaust situation of the Jews in Lithuania (Soviet </w:t>
            </w:r>
            <w:r w:rsidRPr="004A37CD">
              <w:rPr>
                <w:sz w:val="22"/>
                <w:szCs w:val="22"/>
                <w:lang w:val="en-GB"/>
              </w:rPr>
              <w:t xml:space="preserve">period and current state). </w:t>
            </w:r>
          </w:p>
        </w:tc>
      </w:tr>
      <w:tr w:rsidR="008A2F11" w:rsidRPr="004A37CD" w:rsidTr="00EF755C">
        <w:tc>
          <w:tcPr>
            <w:tcW w:w="2176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Learning outcomes of the course unit (module)</w:t>
            </w:r>
          </w:p>
        </w:tc>
        <w:tc>
          <w:tcPr>
            <w:tcW w:w="1395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Teaching and learning methods</w:t>
            </w:r>
          </w:p>
        </w:tc>
        <w:tc>
          <w:tcPr>
            <w:tcW w:w="1429" w:type="pct"/>
            <w:shd w:val="clear" w:color="auto" w:fill="E6E6E6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Assessment methods</w:t>
            </w:r>
          </w:p>
        </w:tc>
      </w:tr>
      <w:tr w:rsidR="008A2F11" w:rsidRPr="004A37CD" w:rsidTr="00EF755C">
        <w:tc>
          <w:tcPr>
            <w:tcW w:w="2176" w:type="pct"/>
          </w:tcPr>
          <w:p w:rsidR="008A2F11" w:rsidRPr="004A37CD" w:rsidRDefault="009D2634" w:rsidP="009D2634">
            <w:pPr>
              <w:tabs>
                <w:tab w:val="left" w:pos="-2988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</w:t>
            </w:r>
            <w:r w:rsidR="008A2F11" w:rsidRPr="004A37CD">
              <w:rPr>
                <w:sz w:val="22"/>
                <w:szCs w:val="22"/>
                <w:lang w:val="en-GB"/>
              </w:rPr>
              <w:t xml:space="preserve">Knowledge in </w:t>
            </w:r>
            <w:r>
              <w:rPr>
                <w:sz w:val="22"/>
                <w:szCs w:val="22"/>
                <w:lang w:val="en-GB"/>
              </w:rPr>
              <w:t xml:space="preserve">Antisemitism history, dynamic of phenomenon </w:t>
            </w:r>
          </w:p>
        </w:tc>
        <w:tc>
          <w:tcPr>
            <w:tcW w:w="1395" w:type="pct"/>
          </w:tcPr>
          <w:p w:rsidR="008A2F11" w:rsidRPr="004A37CD" w:rsidRDefault="008A2F11" w:rsidP="00EF755C">
            <w:pPr>
              <w:tabs>
                <w:tab w:val="left" w:pos="851"/>
                <w:tab w:val="left" w:pos="907"/>
              </w:tabs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Lectures</w:t>
            </w:r>
          </w:p>
        </w:tc>
        <w:tc>
          <w:tcPr>
            <w:tcW w:w="1429" w:type="pct"/>
          </w:tcPr>
          <w:p w:rsidR="008A2F11" w:rsidRPr="004A37CD" w:rsidRDefault="008A2F11" w:rsidP="00EF755C">
            <w:pPr>
              <w:tabs>
                <w:tab w:val="left" w:pos="851"/>
                <w:tab w:val="left" w:pos="907"/>
              </w:tabs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  <w:r w:rsidR="009D2634">
              <w:rPr>
                <w:sz w:val="22"/>
                <w:szCs w:val="22"/>
                <w:lang w:val="en-GB"/>
              </w:rPr>
              <w:t xml:space="preserve">, seminars/ </w:t>
            </w:r>
            <w:proofErr w:type="spellStart"/>
            <w:r w:rsidR="009D2634">
              <w:rPr>
                <w:sz w:val="22"/>
                <w:szCs w:val="22"/>
                <w:lang w:val="en-GB"/>
              </w:rPr>
              <w:t>discusions</w:t>
            </w:r>
            <w:proofErr w:type="spellEnd"/>
            <w:r w:rsidRPr="004A37CD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8A2F11" w:rsidRPr="004A37CD" w:rsidTr="00EF755C">
        <w:tc>
          <w:tcPr>
            <w:tcW w:w="2176" w:type="pct"/>
          </w:tcPr>
          <w:p w:rsidR="008A2F11" w:rsidRPr="004A37CD" w:rsidRDefault="008A2F11" w:rsidP="009D2634">
            <w:pPr>
              <w:tabs>
                <w:tab w:val="left" w:pos="-2988"/>
              </w:tabs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 xml:space="preserve">Ability to recognize processes </w:t>
            </w:r>
            <w:r w:rsidR="009D2634">
              <w:rPr>
                <w:sz w:val="22"/>
                <w:szCs w:val="22"/>
                <w:lang w:val="en-GB"/>
              </w:rPr>
              <w:t>and characteristics of different types of Antisemitism,</w:t>
            </w:r>
            <w:r w:rsidR="002600E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37CD">
              <w:rPr>
                <w:sz w:val="22"/>
                <w:szCs w:val="22"/>
                <w:lang w:val="en-GB"/>
              </w:rPr>
              <w:t>analyze</w:t>
            </w:r>
            <w:proofErr w:type="spellEnd"/>
            <w:r w:rsidRPr="004A37CD">
              <w:rPr>
                <w:sz w:val="22"/>
                <w:szCs w:val="22"/>
                <w:lang w:val="en-GB"/>
              </w:rPr>
              <w:t xml:space="preserve"> phenomena in broader Europe </w:t>
            </w:r>
            <w:r w:rsidR="009D2634">
              <w:rPr>
                <w:sz w:val="22"/>
                <w:szCs w:val="22"/>
                <w:lang w:val="en-GB"/>
              </w:rPr>
              <w:t>context and compare with cases in Lithuania</w:t>
            </w:r>
          </w:p>
        </w:tc>
        <w:tc>
          <w:tcPr>
            <w:tcW w:w="1395" w:type="pct"/>
          </w:tcPr>
          <w:p w:rsidR="008A2F11" w:rsidRPr="004A37CD" w:rsidRDefault="008A2F11" w:rsidP="009D2634">
            <w:pPr>
              <w:tabs>
                <w:tab w:val="left" w:pos="851"/>
                <w:tab w:val="left" w:pos="907"/>
              </w:tabs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Individual work</w:t>
            </w:r>
            <w:r w:rsidR="009D2634">
              <w:rPr>
                <w:sz w:val="22"/>
                <w:szCs w:val="22"/>
                <w:lang w:val="en-GB"/>
              </w:rPr>
              <w:t xml:space="preserve">, study of </w:t>
            </w:r>
            <w:proofErr w:type="spellStart"/>
            <w:r w:rsidR="009D2634">
              <w:rPr>
                <w:sz w:val="22"/>
                <w:szCs w:val="22"/>
                <w:lang w:val="en-GB"/>
              </w:rPr>
              <w:t>litetature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29" w:type="pct"/>
          </w:tcPr>
          <w:p w:rsidR="008A2F11" w:rsidRPr="004A37CD" w:rsidRDefault="008A2F11" w:rsidP="009D2634">
            <w:pPr>
              <w:tabs>
                <w:tab w:val="left" w:pos="851"/>
                <w:tab w:val="left" w:pos="907"/>
              </w:tabs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 xml:space="preserve"> </w:t>
            </w:r>
            <w:r w:rsidR="009D2634" w:rsidRPr="004A37CD">
              <w:rPr>
                <w:sz w:val="22"/>
                <w:szCs w:val="22"/>
                <w:lang w:val="en-GB"/>
              </w:rPr>
              <w:t>P</w:t>
            </w:r>
            <w:r w:rsidRPr="004A37CD">
              <w:rPr>
                <w:sz w:val="22"/>
                <w:szCs w:val="22"/>
                <w:lang w:val="en-GB"/>
              </w:rPr>
              <w:t>roject</w:t>
            </w:r>
            <w:r w:rsidR="009D2634">
              <w:rPr>
                <w:sz w:val="22"/>
                <w:szCs w:val="22"/>
                <w:lang w:val="en-GB"/>
              </w:rPr>
              <w:t xml:space="preserve"> preparation in group and presentation</w:t>
            </w:r>
            <w:r w:rsidRPr="004A37CD">
              <w:rPr>
                <w:sz w:val="22"/>
                <w:szCs w:val="22"/>
                <w:lang w:val="en-GB"/>
              </w:rPr>
              <w:t xml:space="preserve"> </w:t>
            </w:r>
            <w:r w:rsidR="009D2634">
              <w:rPr>
                <w:sz w:val="22"/>
                <w:szCs w:val="22"/>
                <w:lang w:val="en-GB"/>
              </w:rPr>
              <w:t>in the seminar</w:t>
            </w:r>
          </w:p>
        </w:tc>
      </w:tr>
      <w:tr w:rsidR="008A2F11" w:rsidRPr="004A37CD" w:rsidTr="00EF755C">
        <w:tc>
          <w:tcPr>
            <w:tcW w:w="2176" w:type="pct"/>
          </w:tcPr>
          <w:p w:rsidR="008A2F11" w:rsidRPr="004A37CD" w:rsidRDefault="009D2634" w:rsidP="009D2634">
            <w:pPr>
              <w:tabs>
                <w:tab w:val="left" w:pos="-2988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Have s</w:t>
            </w:r>
            <w:r w:rsidR="008A2F11" w:rsidRPr="004A37CD">
              <w:rPr>
                <w:sz w:val="22"/>
                <w:szCs w:val="22"/>
                <w:lang w:val="en-GB"/>
              </w:rPr>
              <w:t xml:space="preserve">kills in independent </w:t>
            </w:r>
            <w:proofErr w:type="gramStart"/>
            <w:r w:rsidR="008A2F11" w:rsidRPr="004A37CD">
              <w:rPr>
                <w:sz w:val="22"/>
                <w:szCs w:val="22"/>
                <w:lang w:val="en-GB"/>
              </w:rPr>
              <w:t>work,</w:t>
            </w:r>
            <w:proofErr w:type="gramEnd"/>
            <w:r w:rsidR="008A2F11" w:rsidRPr="004A37CD">
              <w:rPr>
                <w:sz w:val="22"/>
                <w:szCs w:val="22"/>
                <w:lang w:val="en-GB"/>
              </w:rPr>
              <w:t xml:space="preserve"> work in groups, oral presentation of individual/group work.</w:t>
            </w:r>
          </w:p>
        </w:tc>
        <w:tc>
          <w:tcPr>
            <w:tcW w:w="1395" w:type="pct"/>
          </w:tcPr>
          <w:p w:rsidR="008A2F11" w:rsidRPr="004A37CD" w:rsidRDefault="008A2F11" w:rsidP="00EF755C">
            <w:pPr>
              <w:tabs>
                <w:tab w:val="left" w:pos="851"/>
                <w:tab w:val="left" w:pos="907"/>
              </w:tabs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Oral presentation</w:t>
            </w:r>
          </w:p>
        </w:tc>
        <w:tc>
          <w:tcPr>
            <w:tcW w:w="1429" w:type="pct"/>
          </w:tcPr>
          <w:p w:rsidR="008A2F11" w:rsidRPr="004A37CD" w:rsidRDefault="008A2F11" w:rsidP="00EF755C">
            <w:pPr>
              <w:tabs>
                <w:tab w:val="left" w:pos="851"/>
                <w:tab w:val="left" w:pos="907"/>
              </w:tabs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 xml:space="preserve">Presentation </w:t>
            </w:r>
          </w:p>
        </w:tc>
      </w:tr>
    </w:tbl>
    <w:p w:rsidR="008A2F11" w:rsidRPr="004A37CD" w:rsidRDefault="008A2F11" w:rsidP="008A2F11">
      <w:pPr>
        <w:jc w:val="both"/>
        <w:rPr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427"/>
        <w:gridCol w:w="428"/>
        <w:gridCol w:w="428"/>
        <w:gridCol w:w="428"/>
        <w:gridCol w:w="428"/>
        <w:gridCol w:w="428"/>
        <w:gridCol w:w="436"/>
        <w:gridCol w:w="408"/>
        <w:gridCol w:w="2089"/>
      </w:tblGrid>
      <w:tr w:rsidR="008A2F11" w:rsidRPr="004A37CD" w:rsidTr="00830785">
        <w:trPr>
          <w:cantSplit/>
        </w:trPr>
        <w:tc>
          <w:tcPr>
            <w:tcW w:w="2210" w:type="pct"/>
            <w:vMerge w:val="restart"/>
            <w:shd w:val="clear" w:color="auto" w:fill="E6E6E6"/>
            <w:vAlign w:val="center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Content: breakdown of the topics</w:t>
            </w:r>
          </w:p>
        </w:tc>
        <w:tc>
          <w:tcPr>
            <w:tcW w:w="1523" w:type="pct"/>
            <w:gridSpan w:val="7"/>
            <w:shd w:val="clear" w:color="auto" w:fill="E6E6E6"/>
            <w:vAlign w:val="center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 xml:space="preserve">Contact hours </w:t>
            </w:r>
          </w:p>
        </w:tc>
        <w:tc>
          <w:tcPr>
            <w:tcW w:w="1267" w:type="pct"/>
            <w:gridSpan w:val="2"/>
            <w:shd w:val="clear" w:color="auto" w:fill="E6E6E6"/>
            <w:vAlign w:val="center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Self-study work: time and assignments</w:t>
            </w:r>
          </w:p>
        </w:tc>
      </w:tr>
      <w:tr w:rsidR="008A2F11" w:rsidRPr="004A37CD" w:rsidTr="00830785">
        <w:trPr>
          <w:cantSplit/>
          <w:trHeight w:val="1686"/>
        </w:trPr>
        <w:tc>
          <w:tcPr>
            <w:tcW w:w="2210" w:type="pct"/>
            <w:vMerge/>
            <w:vAlign w:val="center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7" w:type="pct"/>
            <w:textDirection w:val="btLr"/>
            <w:vAlign w:val="center"/>
          </w:tcPr>
          <w:p w:rsidR="008A2F11" w:rsidRPr="004A37CD" w:rsidRDefault="008A2F11" w:rsidP="00EF755C">
            <w:pPr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Lectures</w:t>
            </w:r>
          </w:p>
        </w:tc>
        <w:tc>
          <w:tcPr>
            <w:tcW w:w="217" w:type="pct"/>
            <w:textDirection w:val="btLr"/>
            <w:vAlign w:val="center"/>
          </w:tcPr>
          <w:p w:rsidR="008A2F11" w:rsidRPr="004A37CD" w:rsidRDefault="008A2F11" w:rsidP="00EF755C">
            <w:pPr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Tutorials</w:t>
            </w:r>
          </w:p>
        </w:tc>
        <w:tc>
          <w:tcPr>
            <w:tcW w:w="217" w:type="pct"/>
            <w:textDirection w:val="btLr"/>
            <w:vAlign w:val="center"/>
          </w:tcPr>
          <w:p w:rsidR="008A2F11" w:rsidRPr="004A37CD" w:rsidRDefault="008A2F11" w:rsidP="00EF755C">
            <w:pPr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Pro/Seminars</w:t>
            </w:r>
          </w:p>
        </w:tc>
        <w:tc>
          <w:tcPr>
            <w:tcW w:w="217" w:type="pct"/>
            <w:textDirection w:val="btLr"/>
            <w:vAlign w:val="center"/>
          </w:tcPr>
          <w:p w:rsidR="008A2F11" w:rsidRPr="004A37CD" w:rsidRDefault="008A2F11" w:rsidP="00EF755C">
            <w:pPr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 xml:space="preserve"> Exercises</w:t>
            </w:r>
          </w:p>
        </w:tc>
        <w:tc>
          <w:tcPr>
            <w:tcW w:w="217" w:type="pct"/>
            <w:textDirection w:val="btLr"/>
            <w:vAlign w:val="center"/>
          </w:tcPr>
          <w:p w:rsidR="008A2F11" w:rsidRPr="004A37CD" w:rsidRDefault="008A2F11" w:rsidP="00EF755C">
            <w:pPr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  <w:tc>
          <w:tcPr>
            <w:tcW w:w="217" w:type="pct"/>
            <w:textDirection w:val="btLr"/>
            <w:vAlign w:val="center"/>
          </w:tcPr>
          <w:p w:rsidR="008A2F11" w:rsidRPr="004A37CD" w:rsidRDefault="008A2F11" w:rsidP="00EF755C">
            <w:pPr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Field trips related to the module</w:t>
            </w:r>
          </w:p>
        </w:tc>
        <w:tc>
          <w:tcPr>
            <w:tcW w:w="220" w:type="pct"/>
            <w:textDirection w:val="btLr"/>
            <w:vAlign w:val="center"/>
          </w:tcPr>
          <w:p w:rsidR="008A2F11" w:rsidRPr="004A37CD" w:rsidRDefault="008A2F11" w:rsidP="00EF755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Contact hours</w:t>
            </w:r>
          </w:p>
        </w:tc>
        <w:tc>
          <w:tcPr>
            <w:tcW w:w="207" w:type="pct"/>
            <w:textDirection w:val="btLr"/>
            <w:vAlign w:val="center"/>
          </w:tcPr>
          <w:p w:rsidR="008A2F11" w:rsidRPr="004A37CD" w:rsidRDefault="008A2F11" w:rsidP="00EF755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Self-study hours</w:t>
            </w:r>
          </w:p>
        </w:tc>
        <w:tc>
          <w:tcPr>
            <w:tcW w:w="1060" w:type="pct"/>
            <w:vAlign w:val="center"/>
          </w:tcPr>
          <w:p w:rsidR="008A2F11" w:rsidRPr="004A37CD" w:rsidRDefault="008A2F11" w:rsidP="00EF755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Assignments</w:t>
            </w:r>
          </w:p>
        </w:tc>
      </w:tr>
      <w:tr w:rsidR="008A2F11" w:rsidRPr="004A37CD" w:rsidTr="00830785">
        <w:tc>
          <w:tcPr>
            <w:tcW w:w="2210" w:type="pct"/>
          </w:tcPr>
          <w:p w:rsidR="009D2634" w:rsidRPr="004A37CD" w:rsidRDefault="00DD4FDC" w:rsidP="009D2634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  <w:r w:rsidR="008A2F11" w:rsidRPr="004A37CD">
              <w:rPr>
                <w:sz w:val="22"/>
                <w:szCs w:val="22"/>
                <w:lang w:val="en-GB"/>
              </w:rPr>
              <w:t xml:space="preserve">Introductory lecture </w:t>
            </w:r>
            <w:r w:rsidR="008A2F11">
              <w:rPr>
                <w:sz w:val="22"/>
                <w:szCs w:val="22"/>
                <w:lang w:val="en-GB"/>
              </w:rPr>
              <w:t xml:space="preserve"> </w:t>
            </w:r>
          </w:p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 xml:space="preserve">Test </w:t>
            </w:r>
          </w:p>
        </w:tc>
      </w:tr>
      <w:tr w:rsidR="008A2F11" w:rsidRPr="004A37CD" w:rsidTr="00830785">
        <w:trPr>
          <w:trHeight w:val="558"/>
        </w:trPr>
        <w:tc>
          <w:tcPr>
            <w:tcW w:w="2210" w:type="pct"/>
          </w:tcPr>
          <w:p w:rsidR="008A2F11" w:rsidRPr="004A37CD" w:rsidRDefault="00DD4FDC" w:rsidP="008307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  <w:r w:rsidR="00464782">
              <w:rPr>
                <w:sz w:val="22"/>
                <w:szCs w:val="22"/>
                <w:lang w:val="en-GB"/>
              </w:rPr>
              <w:t xml:space="preserve"> </w:t>
            </w:r>
            <w:r w:rsidR="005F670E">
              <w:rPr>
                <w:sz w:val="22"/>
                <w:szCs w:val="22"/>
                <w:lang w:val="en-GB"/>
              </w:rPr>
              <w:t xml:space="preserve">Content of Antisemitism as definition and phenomenon. Connection of </w:t>
            </w:r>
            <w:proofErr w:type="spellStart"/>
            <w:r w:rsidR="00830785">
              <w:rPr>
                <w:sz w:val="22"/>
                <w:szCs w:val="22"/>
                <w:lang w:val="en-GB"/>
              </w:rPr>
              <w:t>Anti-semitism</w:t>
            </w:r>
            <w:proofErr w:type="spellEnd"/>
            <w:r w:rsidR="00830785">
              <w:rPr>
                <w:sz w:val="22"/>
                <w:szCs w:val="22"/>
                <w:lang w:val="en-GB"/>
              </w:rPr>
              <w:t xml:space="preserve"> </w:t>
            </w:r>
            <w:r w:rsidR="005F670E">
              <w:rPr>
                <w:sz w:val="22"/>
                <w:szCs w:val="22"/>
                <w:lang w:val="en-GB"/>
              </w:rPr>
              <w:t>development with dynamic of history</w:t>
            </w:r>
            <w:r w:rsidR="00830785">
              <w:rPr>
                <w:sz w:val="22"/>
                <w:szCs w:val="22"/>
                <w:lang w:val="en-GB"/>
              </w:rPr>
              <w:t xml:space="preserve"> processes</w:t>
            </w:r>
            <w:r w:rsidR="005F670E">
              <w:rPr>
                <w:sz w:val="22"/>
                <w:szCs w:val="22"/>
                <w:lang w:val="en-GB"/>
              </w:rPr>
              <w:t xml:space="preserve"> in the society’s (Ancient history, middle ages, early modern ages, Enlight</w:t>
            </w:r>
            <w:r w:rsidR="002600E4">
              <w:rPr>
                <w:sz w:val="22"/>
                <w:szCs w:val="22"/>
                <w:lang w:val="en-GB"/>
              </w:rPr>
              <w:t>e</w:t>
            </w:r>
            <w:r w:rsidR="005F670E">
              <w:rPr>
                <w:sz w:val="22"/>
                <w:szCs w:val="22"/>
                <w:lang w:val="en-GB"/>
              </w:rPr>
              <w:t xml:space="preserve">ment, modernisation, </w:t>
            </w:r>
            <w:r w:rsidR="00830785">
              <w:rPr>
                <w:sz w:val="22"/>
                <w:szCs w:val="22"/>
                <w:lang w:val="en-GB"/>
              </w:rPr>
              <w:t xml:space="preserve">industrialisation, </w:t>
            </w:r>
            <w:r w:rsidR="005F670E">
              <w:rPr>
                <w:sz w:val="22"/>
                <w:szCs w:val="22"/>
                <w:lang w:val="en-GB"/>
              </w:rPr>
              <w:t xml:space="preserve">urbanisation, </w:t>
            </w:r>
            <w:proofErr w:type="spellStart"/>
            <w:r w:rsidR="005F670E">
              <w:rPr>
                <w:sz w:val="22"/>
                <w:szCs w:val="22"/>
                <w:lang w:val="en-GB"/>
              </w:rPr>
              <w:t>proletarisation</w:t>
            </w:r>
            <w:proofErr w:type="spellEnd"/>
            <w:r w:rsidR="005F670E">
              <w:rPr>
                <w:sz w:val="22"/>
                <w:szCs w:val="22"/>
                <w:lang w:val="en-GB"/>
              </w:rPr>
              <w:t>, national state).</w:t>
            </w: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A2F11" w:rsidRPr="004A37CD" w:rsidTr="00830785">
        <w:tc>
          <w:tcPr>
            <w:tcW w:w="2210" w:type="pct"/>
          </w:tcPr>
          <w:p w:rsidR="008A2F11" w:rsidRPr="004A37CD" w:rsidRDefault="00DD4FDC" w:rsidP="008307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  <w:r w:rsidR="005F670E">
              <w:rPr>
                <w:sz w:val="22"/>
                <w:szCs w:val="22"/>
                <w:lang w:val="en-GB"/>
              </w:rPr>
              <w:t xml:space="preserve"> </w:t>
            </w:r>
            <w:r w:rsidR="00830785">
              <w:rPr>
                <w:sz w:val="22"/>
                <w:szCs w:val="22"/>
                <w:lang w:val="en-GB"/>
              </w:rPr>
              <w:t xml:space="preserve">Content of Antisemitism as definition and phenomenon. Connection of </w:t>
            </w:r>
            <w:proofErr w:type="spellStart"/>
            <w:r w:rsidR="00830785">
              <w:rPr>
                <w:sz w:val="22"/>
                <w:szCs w:val="22"/>
                <w:lang w:val="en-GB"/>
              </w:rPr>
              <w:t>Anti-semitism</w:t>
            </w:r>
            <w:proofErr w:type="spellEnd"/>
            <w:r w:rsidR="00830785">
              <w:rPr>
                <w:sz w:val="22"/>
                <w:szCs w:val="22"/>
                <w:lang w:val="en-GB"/>
              </w:rPr>
              <w:t xml:space="preserve"> development with dynamic of history processes in the society’s (Ancient history, middle ages, early modern ages, Enlightement, modernisation, industrialisation, urbanisation, </w:t>
            </w:r>
            <w:proofErr w:type="spellStart"/>
            <w:r w:rsidR="00830785">
              <w:rPr>
                <w:sz w:val="22"/>
                <w:szCs w:val="22"/>
                <w:lang w:val="en-GB"/>
              </w:rPr>
              <w:t>proletarisation</w:t>
            </w:r>
            <w:proofErr w:type="spellEnd"/>
            <w:r w:rsidR="00830785">
              <w:rPr>
                <w:sz w:val="22"/>
                <w:szCs w:val="22"/>
                <w:lang w:val="en-GB"/>
              </w:rPr>
              <w:t>, national state)</w:t>
            </w:r>
            <w:r w:rsidR="005F670E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A2F11" w:rsidRPr="004A37CD" w:rsidTr="00830785">
        <w:tc>
          <w:tcPr>
            <w:tcW w:w="2210" w:type="pct"/>
          </w:tcPr>
          <w:p w:rsidR="008A2F11" w:rsidRDefault="00DD4FDC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  <w:r w:rsidR="005F670E">
              <w:rPr>
                <w:sz w:val="22"/>
                <w:szCs w:val="22"/>
                <w:lang w:val="en-GB"/>
              </w:rPr>
              <w:t xml:space="preserve">. </w:t>
            </w:r>
            <w:r w:rsidR="001D738B">
              <w:rPr>
                <w:sz w:val="22"/>
                <w:szCs w:val="22"/>
                <w:lang w:val="en-GB"/>
              </w:rPr>
              <w:t>Anti-</w:t>
            </w:r>
            <w:proofErr w:type="spellStart"/>
            <w:r w:rsidR="001D738B">
              <w:rPr>
                <w:sz w:val="22"/>
                <w:szCs w:val="22"/>
                <w:lang w:val="en-GB"/>
              </w:rPr>
              <w:t>judaism</w:t>
            </w:r>
            <w:proofErr w:type="spellEnd"/>
            <w:r w:rsidR="001D738B">
              <w:rPr>
                <w:sz w:val="22"/>
                <w:szCs w:val="22"/>
                <w:lang w:val="en-GB"/>
              </w:rPr>
              <w:t xml:space="preserve"> in Ancient world. Combination of stereotypes and myths and transformation of it in Christian societies.</w:t>
            </w:r>
          </w:p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A2F11" w:rsidRPr="004A37CD" w:rsidTr="00830785">
        <w:tc>
          <w:tcPr>
            <w:tcW w:w="2210" w:type="pct"/>
          </w:tcPr>
          <w:p w:rsidR="008A2F11" w:rsidRPr="004A37CD" w:rsidRDefault="00DD4FDC" w:rsidP="00DD4FD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  <w:r w:rsidR="001D738B">
              <w:rPr>
                <w:sz w:val="22"/>
                <w:szCs w:val="22"/>
                <w:lang w:val="en-GB"/>
              </w:rPr>
              <w:t>. Conflict of Religion: Judaism and Christianity</w:t>
            </w: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A2F11" w:rsidRPr="004A37CD" w:rsidTr="00830785">
        <w:tc>
          <w:tcPr>
            <w:tcW w:w="2210" w:type="pct"/>
          </w:tcPr>
          <w:p w:rsidR="00DD4FDC" w:rsidRDefault="00DD4FDC" w:rsidP="00DD4FD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="001D738B">
              <w:rPr>
                <w:sz w:val="22"/>
                <w:szCs w:val="22"/>
                <w:lang w:val="en-GB"/>
              </w:rPr>
              <w:t>. Anti-</w:t>
            </w:r>
            <w:proofErr w:type="spellStart"/>
            <w:r w:rsidR="001D738B">
              <w:rPr>
                <w:sz w:val="22"/>
                <w:szCs w:val="22"/>
                <w:lang w:val="en-GB"/>
              </w:rPr>
              <w:t>judaism</w:t>
            </w:r>
            <w:proofErr w:type="spellEnd"/>
            <w:r w:rsidR="001D738B">
              <w:rPr>
                <w:sz w:val="22"/>
                <w:szCs w:val="22"/>
                <w:lang w:val="en-GB"/>
              </w:rPr>
              <w:t xml:space="preserve"> in Medieval times Crusades, changings of </w:t>
            </w:r>
            <w:r w:rsidR="004D5DFD">
              <w:rPr>
                <w:sz w:val="22"/>
                <w:szCs w:val="22"/>
                <w:lang w:val="en-GB"/>
              </w:rPr>
              <w:t>attitudes</w:t>
            </w:r>
            <w:r w:rsidR="00830785">
              <w:rPr>
                <w:sz w:val="22"/>
                <w:szCs w:val="22"/>
                <w:lang w:val="en-GB"/>
              </w:rPr>
              <w:t>.</w:t>
            </w:r>
            <w:r w:rsidR="001D738B">
              <w:rPr>
                <w:sz w:val="22"/>
                <w:szCs w:val="22"/>
                <w:lang w:val="en-GB"/>
              </w:rPr>
              <w:t xml:space="preserve">  </w:t>
            </w:r>
          </w:p>
          <w:p w:rsidR="008A2F11" w:rsidRPr="004A37CD" w:rsidRDefault="008A2F11" w:rsidP="00DD4FD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A2F11" w:rsidRPr="004A37CD" w:rsidTr="00830785">
        <w:tc>
          <w:tcPr>
            <w:tcW w:w="2210" w:type="pct"/>
          </w:tcPr>
          <w:p w:rsidR="008A2F11" w:rsidRPr="004A37CD" w:rsidRDefault="00DD4FDC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  <w:r w:rsidR="001D738B">
              <w:rPr>
                <w:sz w:val="22"/>
                <w:szCs w:val="22"/>
                <w:lang w:val="en-GB"/>
              </w:rPr>
              <w:t xml:space="preserve">. </w:t>
            </w:r>
            <w:r w:rsidR="000C5C9D" w:rsidRPr="00830785">
              <w:rPr>
                <w:sz w:val="22"/>
                <w:szCs w:val="22"/>
                <w:lang w:val="en-GB"/>
              </w:rPr>
              <w:t>Martin</w:t>
            </w:r>
            <w:r w:rsidR="001D738B" w:rsidRPr="00830785">
              <w:rPr>
                <w:sz w:val="22"/>
                <w:szCs w:val="22"/>
                <w:lang w:val="en-GB"/>
              </w:rPr>
              <w:t xml:space="preserve"> Luther “</w:t>
            </w:r>
            <w:r w:rsidR="00830785" w:rsidRPr="00830785">
              <w:rPr>
                <w:sz w:val="22"/>
                <w:szCs w:val="22"/>
                <w:lang w:val="en-GB"/>
              </w:rPr>
              <w:t>A</w:t>
            </w:r>
            <w:r w:rsidR="001D738B" w:rsidRPr="00830785">
              <w:rPr>
                <w:sz w:val="22"/>
                <w:szCs w:val="22"/>
                <w:lang w:val="en-GB"/>
              </w:rPr>
              <w:t xml:space="preserve">bout Jews and </w:t>
            </w:r>
            <w:r w:rsidR="000C5C9D" w:rsidRPr="00830785">
              <w:rPr>
                <w:sz w:val="22"/>
                <w:szCs w:val="22"/>
                <w:lang w:val="en-GB"/>
              </w:rPr>
              <w:t>Their</w:t>
            </w:r>
            <w:r w:rsidR="001D738B" w:rsidRPr="00830785">
              <w:rPr>
                <w:sz w:val="22"/>
                <w:szCs w:val="22"/>
                <w:lang w:val="en-GB"/>
              </w:rPr>
              <w:t xml:space="preserve"> leas”</w:t>
            </w:r>
            <w:r w:rsidR="00830785">
              <w:rPr>
                <w:sz w:val="22"/>
                <w:szCs w:val="22"/>
                <w:lang w:val="en-GB"/>
              </w:rPr>
              <w:t>: Anti-</w:t>
            </w:r>
            <w:proofErr w:type="spellStart"/>
            <w:r w:rsidR="00830785">
              <w:rPr>
                <w:sz w:val="22"/>
                <w:szCs w:val="22"/>
                <w:lang w:val="en-GB"/>
              </w:rPr>
              <w:t>judaism</w:t>
            </w:r>
            <w:proofErr w:type="spellEnd"/>
            <w:r w:rsidR="00830785">
              <w:rPr>
                <w:sz w:val="22"/>
                <w:szCs w:val="22"/>
                <w:lang w:val="en-GB"/>
              </w:rPr>
              <w:t xml:space="preserve"> example</w:t>
            </w: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A2F11" w:rsidRPr="004A37CD" w:rsidTr="00830785">
        <w:tc>
          <w:tcPr>
            <w:tcW w:w="2210" w:type="pct"/>
          </w:tcPr>
          <w:p w:rsidR="008A2F11" w:rsidRPr="004A37CD" w:rsidRDefault="00DD4FDC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="005F670E">
              <w:rPr>
                <w:sz w:val="22"/>
                <w:szCs w:val="22"/>
                <w:lang w:val="en-GB"/>
              </w:rPr>
              <w:t xml:space="preserve">. </w:t>
            </w:r>
            <w:r w:rsidR="005F670E" w:rsidRPr="005F670E">
              <w:rPr>
                <w:b/>
                <w:sz w:val="22"/>
                <w:szCs w:val="22"/>
                <w:lang w:val="en-GB"/>
              </w:rPr>
              <w:t>Seminar</w:t>
            </w:r>
            <w:r w:rsidR="005F670E">
              <w:rPr>
                <w:sz w:val="22"/>
                <w:szCs w:val="22"/>
                <w:lang w:val="en-GB"/>
              </w:rPr>
              <w:t>: Anti-Jewish stereotypes among me: evaluation of own millennium (self –analysis: Why I think so?</w:t>
            </w:r>
            <w:r w:rsidR="00830785">
              <w:rPr>
                <w:sz w:val="22"/>
                <w:szCs w:val="22"/>
                <w:lang w:val="en-GB"/>
              </w:rPr>
              <w:t>)</w:t>
            </w:r>
            <w:r w:rsidR="005F670E">
              <w:rPr>
                <w:sz w:val="22"/>
                <w:szCs w:val="22"/>
                <w:lang w:val="en-GB"/>
              </w:rPr>
              <w:t xml:space="preserve">  and discussion in auditorium</w:t>
            </w: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A2F11" w:rsidRPr="004A37CD" w:rsidRDefault="005F670E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Individual work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2752D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10. Jews in economics and economic competition as reason of Antisemitism. Stereotypes on the basis of concurrence. “Rich Jew”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11. Anti- Jewish myths: profanation of </w:t>
            </w:r>
            <w:proofErr w:type="spellStart"/>
            <w:r>
              <w:rPr>
                <w:sz w:val="22"/>
                <w:szCs w:val="22"/>
                <w:lang w:val="en-GB"/>
              </w:rPr>
              <w:t>Hostia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GB"/>
              </w:rPr>
              <w:t>and  Blood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libel accusation. Roots of  myth and functioning in West Europe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8307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12. Adaptation and Transformation of Blood libel accusation in Lithuania society. Comparison of Lithuanian priest expertise in M. </w:t>
            </w:r>
            <w:proofErr w:type="spellStart"/>
            <w:r>
              <w:rPr>
                <w:sz w:val="22"/>
                <w:szCs w:val="22"/>
                <w:lang w:val="en-GB"/>
              </w:rPr>
              <w:t>Beilis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process with in Lithuania speeded </w:t>
            </w:r>
            <w:r>
              <w:rPr>
                <w:sz w:val="22"/>
                <w:szCs w:val="22"/>
                <w:lang w:val="en-GB"/>
              </w:rPr>
              <w:lastRenderedPageBreak/>
              <w:t>version of explanation of myth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8307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12. </w:t>
            </w:r>
            <w:r w:rsidRPr="005F670E">
              <w:rPr>
                <w:b/>
                <w:sz w:val="22"/>
                <w:szCs w:val="22"/>
                <w:lang w:val="en-GB"/>
              </w:rPr>
              <w:t>Seminar:</w:t>
            </w:r>
            <w:r>
              <w:rPr>
                <w:sz w:val="22"/>
                <w:szCs w:val="22"/>
              </w:rPr>
              <w:t xml:space="preserve"> (discussion and two presentation of group of students)</w:t>
            </w:r>
            <w:r>
              <w:rPr>
                <w:sz w:val="22"/>
                <w:szCs w:val="22"/>
                <w:lang w:val="en-GB"/>
              </w:rPr>
              <w:t xml:space="preserve"> Existing forms of blood libel accusation: oral history with prepared  questionnaire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Individual work, oral presentation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83078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13. </w:t>
            </w:r>
            <w:r w:rsidR="00FA653D">
              <w:rPr>
                <w:sz w:val="22"/>
                <w:szCs w:val="22"/>
                <w:lang w:val="en-GB"/>
              </w:rPr>
              <w:t>Collective Jew and idea of Jewish solidarity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FA653D" w:rsidP="00830785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D5DFD" w:rsidRDefault="00830785" w:rsidP="008307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“Protocols of Elders” of Sion and theories of conspiracy. Stereotype of solidarity of Jewish community. Lecture and round table discussion about content of source.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FA653D" w:rsidP="00EF755C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A37CD">
              <w:rPr>
                <w:sz w:val="22"/>
                <w:szCs w:val="22"/>
                <w:lang w:val="en-GB"/>
              </w:rPr>
              <w:t>Test</w:t>
            </w:r>
            <w:r>
              <w:rPr>
                <w:sz w:val="22"/>
                <w:szCs w:val="22"/>
                <w:lang w:val="en-GB"/>
              </w:rPr>
              <w:t>+discussion</w:t>
            </w:r>
            <w:proofErr w:type="spellEnd"/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4D5DFD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15.</w:t>
            </w:r>
            <w:r>
              <w:rPr>
                <w:sz w:val="22"/>
                <w:szCs w:val="22"/>
              </w:rPr>
              <w:t xml:space="preserve"> Pogrom and its definition. The most important cases of pogroms in Region and its reasons and conclusions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4D5DF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A. </w:t>
            </w:r>
            <w:proofErr w:type="spellStart"/>
            <w:r>
              <w:rPr>
                <w:sz w:val="22"/>
                <w:szCs w:val="22"/>
              </w:rPr>
              <w:t>Hitlers</w:t>
            </w:r>
            <w:proofErr w:type="spellEnd"/>
            <w:r>
              <w:rPr>
                <w:sz w:val="22"/>
                <w:szCs w:val="22"/>
              </w:rPr>
              <w:t xml:space="preserve"> rhetoric and using of  old understandable stereotypes in it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2752D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Unspring of 23</w:t>
            </w:r>
            <w:r>
              <w:rPr>
                <w:sz w:val="22"/>
                <w:szCs w:val="22"/>
                <w:lang w:val="lt-LT"/>
              </w:rPr>
              <w:t xml:space="preserve"> of Jun </w:t>
            </w:r>
            <w:proofErr w:type="gramStart"/>
            <w:r>
              <w:rPr>
                <w:sz w:val="22"/>
                <w:szCs w:val="22"/>
                <w:lang w:val="lt-LT"/>
              </w:rPr>
              <w:t>1940  and</w:t>
            </w:r>
            <w:proofErr w:type="gramEnd"/>
            <w:r>
              <w:rPr>
                <w:sz w:val="22"/>
                <w:szCs w:val="22"/>
                <w:lang w:val="lt-LT"/>
              </w:rPr>
              <w:t xml:space="preserve"> restoration of Independens of Lithuania.  </w:t>
            </w:r>
            <w:r>
              <w:rPr>
                <w:sz w:val="22"/>
                <w:szCs w:val="22"/>
              </w:rPr>
              <w:t xml:space="preserve">Transformation of stereotypes in the rhetoric </w:t>
            </w:r>
            <w:proofErr w:type="gramStart"/>
            <w:r>
              <w:rPr>
                <w:sz w:val="22"/>
                <w:szCs w:val="22"/>
              </w:rPr>
              <w:t xml:space="preserve">of  </w:t>
            </w:r>
            <w:proofErr w:type="spellStart"/>
            <w:r>
              <w:rPr>
                <w:sz w:val="22"/>
                <w:szCs w:val="22"/>
              </w:rPr>
              <w:t>marionethic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government, event in </w:t>
            </w:r>
            <w:proofErr w:type="spellStart"/>
            <w:r>
              <w:rPr>
                <w:sz w:val="22"/>
                <w:szCs w:val="22"/>
              </w:rPr>
              <w:t>Lietukio</w:t>
            </w:r>
            <w:proofErr w:type="spellEnd"/>
            <w:r>
              <w:rPr>
                <w:sz w:val="22"/>
                <w:szCs w:val="22"/>
              </w:rPr>
              <w:t xml:space="preserve"> garage and presentation it in the literature created of Lithuanians émigré in USA. Documental movie “Garage </w:t>
            </w:r>
            <w:proofErr w:type="spellStart"/>
            <w:r>
              <w:rPr>
                <w:sz w:val="22"/>
                <w:szCs w:val="22"/>
              </w:rPr>
              <w:t>Lietukis</w:t>
            </w:r>
            <w:proofErr w:type="spellEnd"/>
            <w:r>
              <w:rPr>
                <w:sz w:val="22"/>
                <w:szCs w:val="22"/>
              </w:rPr>
              <w:t>” and discussion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83078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Antisemitism in Soviet Union: amnesia of Holocaust and discrimination. Behavior of Jewish families – hided Identity and influence of this for </w:t>
            </w:r>
            <w:proofErr w:type="spellStart"/>
            <w:r>
              <w:rPr>
                <w:sz w:val="22"/>
                <w:szCs w:val="22"/>
              </w:rPr>
              <w:t>contemporal</w:t>
            </w:r>
            <w:proofErr w:type="spellEnd"/>
            <w:r>
              <w:rPr>
                <w:sz w:val="22"/>
                <w:szCs w:val="22"/>
              </w:rPr>
              <w:t xml:space="preserve"> Jewish community in Lithuania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4D5DF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143C9B">
              <w:rPr>
                <w:b/>
                <w:sz w:val="22"/>
                <w:szCs w:val="22"/>
              </w:rPr>
              <w:t>Seminar</w:t>
            </w:r>
            <w:r>
              <w:rPr>
                <w:sz w:val="22"/>
                <w:szCs w:val="22"/>
              </w:rPr>
              <w:t xml:space="preserve"> (discussion and two presentation of group of students): Creation of Tolerance society. Evaluation of Legal situation (EU and Lithuania) and education system (case of Lithuania)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Individual work, oral presentation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Default="00830785" w:rsidP="00EF75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Transformation and adaptation of </w:t>
            </w:r>
            <w:proofErr w:type="spellStart"/>
            <w:r>
              <w:rPr>
                <w:sz w:val="22"/>
                <w:szCs w:val="22"/>
              </w:rPr>
              <w:t>streotypes</w:t>
            </w:r>
            <w:proofErr w:type="spellEnd"/>
            <w:r>
              <w:rPr>
                <w:sz w:val="22"/>
                <w:szCs w:val="22"/>
              </w:rPr>
              <w:t xml:space="preserve"> and myths, changing forms of </w:t>
            </w:r>
            <w:proofErr w:type="spellStart"/>
            <w:r>
              <w:rPr>
                <w:sz w:val="22"/>
                <w:szCs w:val="22"/>
              </w:rPr>
              <w:t>Anti-semitism</w:t>
            </w:r>
            <w:proofErr w:type="spellEnd"/>
            <w:r>
              <w:rPr>
                <w:sz w:val="22"/>
                <w:szCs w:val="22"/>
              </w:rPr>
              <w:t xml:space="preserve"> thru ages and social-systems. Summarizing of situation in historical times. </w:t>
            </w:r>
          </w:p>
          <w:p w:rsidR="00830785" w:rsidRPr="004A37CD" w:rsidRDefault="00830785" w:rsidP="00EF755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FA653D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AC44C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proofErr w:type="spellStart"/>
            <w:r>
              <w:rPr>
                <w:sz w:val="22"/>
                <w:szCs w:val="22"/>
              </w:rPr>
              <w:t>Memorialisation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Holocost</w:t>
            </w:r>
            <w:proofErr w:type="spellEnd"/>
            <w:r>
              <w:rPr>
                <w:sz w:val="22"/>
                <w:szCs w:val="22"/>
              </w:rPr>
              <w:t xml:space="preserve"> as impulse to antisemitism. (How evaluate the Heroes of Nation  - case of partisan of Independent Lithuania; living and using of Jewish property)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FA653D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8B05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Antisemitism and Jewish heritage in Central and East Europe  - attitude to Jewish heritage in societies comparison view on post-holocaust / soviet regime situation and contemporary Lithuanian society.  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FA653D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EF75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Antisemitism in every –day life: analysis of most </w:t>
            </w:r>
            <w:proofErr w:type="spellStart"/>
            <w:r>
              <w:rPr>
                <w:sz w:val="22"/>
                <w:szCs w:val="22"/>
              </w:rPr>
              <w:t>resonansible</w:t>
            </w:r>
            <w:proofErr w:type="spellEnd"/>
            <w:r>
              <w:rPr>
                <w:sz w:val="22"/>
                <w:szCs w:val="22"/>
              </w:rPr>
              <w:t xml:space="preserve"> cases in Lithuania. How to evaluate 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FA653D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</w:tr>
      <w:tr w:rsidR="00830785" w:rsidRPr="004A37CD" w:rsidTr="00830785">
        <w:trPr>
          <w:trHeight w:val="100"/>
        </w:trPr>
        <w:tc>
          <w:tcPr>
            <w:tcW w:w="2210" w:type="pct"/>
          </w:tcPr>
          <w:p w:rsidR="00830785" w:rsidRPr="004A37CD" w:rsidRDefault="00830785" w:rsidP="008B050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Pr="00143C9B">
              <w:rPr>
                <w:b/>
                <w:sz w:val="22"/>
                <w:szCs w:val="22"/>
              </w:rPr>
              <w:t xml:space="preserve"> Seminar</w:t>
            </w:r>
            <w:r>
              <w:rPr>
                <w:sz w:val="22"/>
                <w:szCs w:val="22"/>
              </w:rPr>
              <w:t xml:space="preserve"> (discussion and one presentation of group of students): People comments in </w:t>
            </w:r>
            <w:r>
              <w:rPr>
                <w:sz w:val="22"/>
                <w:szCs w:val="22"/>
              </w:rPr>
              <w:lastRenderedPageBreak/>
              <w:t xml:space="preserve">internet media: recognition and evaluation of stereotypes. How to prevent spreading/ functioning of Antisemitism in the society. 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Individual work, oral presentation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Default="00830785" w:rsidP="00EF75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 Consultation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Preparation for Test</w:t>
            </w:r>
          </w:p>
        </w:tc>
      </w:tr>
      <w:tr w:rsidR="00830785" w:rsidRPr="004A37CD" w:rsidTr="00830785">
        <w:tc>
          <w:tcPr>
            <w:tcW w:w="2210" w:type="pct"/>
          </w:tcPr>
          <w:p w:rsidR="00830785" w:rsidRDefault="00830785" w:rsidP="00EF755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Test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830785" w:rsidRPr="004A37CD" w:rsidTr="00830785">
        <w:tc>
          <w:tcPr>
            <w:tcW w:w="2210" w:type="pct"/>
          </w:tcPr>
          <w:p w:rsidR="00830785" w:rsidRPr="004A37CD" w:rsidRDefault="00830785" w:rsidP="00EF755C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20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7" w:type="pct"/>
          </w:tcPr>
          <w:p w:rsidR="00830785" w:rsidRPr="004A37CD" w:rsidRDefault="00830785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60" w:type="pct"/>
          </w:tcPr>
          <w:p w:rsidR="00830785" w:rsidRPr="004A37CD" w:rsidRDefault="00830785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8A2F11" w:rsidRPr="004A37CD" w:rsidRDefault="008A2F11" w:rsidP="008A2F11">
      <w:pPr>
        <w:rPr>
          <w:sz w:val="22"/>
          <w:szCs w:val="22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171"/>
        <w:gridCol w:w="1403"/>
        <w:gridCol w:w="5154"/>
      </w:tblGrid>
      <w:tr w:rsidR="008A2F11" w:rsidRPr="004A37CD" w:rsidTr="008A2F11">
        <w:tc>
          <w:tcPr>
            <w:tcW w:w="1079" w:type="pct"/>
            <w:shd w:val="clear" w:color="auto" w:fill="E6E6E6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Assessment strategy</w:t>
            </w:r>
          </w:p>
        </w:tc>
        <w:tc>
          <w:tcPr>
            <w:tcW w:w="594" w:type="pct"/>
            <w:shd w:val="clear" w:color="auto" w:fill="E6E6E6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Weight,%</w:t>
            </w:r>
          </w:p>
        </w:tc>
        <w:tc>
          <w:tcPr>
            <w:tcW w:w="712" w:type="pct"/>
            <w:shd w:val="clear" w:color="auto" w:fill="E6E6E6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Deadline</w:t>
            </w:r>
          </w:p>
        </w:tc>
        <w:tc>
          <w:tcPr>
            <w:tcW w:w="2615" w:type="pct"/>
            <w:shd w:val="clear" w:color="auto" w:fill="E6E6E6"/>
          </w:tcPr>
          <w:p w:rsidR="008A2F11" w:rsidRPr="004A37CD" w:rsidRDefault="008A2F11" w:rsidP="00EF755C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sz w:val="22"/>
                <w:szCs w:val="22"/>
                <w:lang w:val="en-GB"/>
              </w:rPr>
              <w:t>Assessment criteria</w:t>
            </w:r>
          </w:p>
        </w:tc>
      </w:tr>
      <w:tr w:rsidR="008A2F11" w:rsidRPr="004A37CD" w:rsidTr="008A2F11">
        <w:tc>
          <w:tcPr>
            <w:tcW w:w="1079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Seminars/ </w:t>
            </w:r>
            <w:r w:rsidR="009D2634">
              <w:rPr>
                <w:sz w:val="22"/>
                <w:szCs w:val="22"/>
                <w:lang w:val="en-GB"/>
              </w:rPr>
              <w:t>discussion</w:t>
            </w:r>
          </w:p>
        </w:tc>
        <w:tc>
          <w:tcPr>
            <w:tcW w:w="594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20</w:t>
            </w:r>
          </w:p>
        </w:tc>
        <w:tc>
          <w:tcPr>
            <w:tcW w:w="712" w:type="pct"/>
          </w:tcPr>
          <w:p w:rsidR="008A2F11" w:rsidRPr="004A37CD" w:rsidRDefault="008A2F11" w:rsidP="00EF755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During semester</w:t>
            </w:r>
          </w:p>
        </w:tc>
        <w:tc>
          <w:tcPr>
            <w:tcW w:w="2615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8A2F11" w:rsidRPr="004A37CD" w:rsidTr="008A2F11">
        <w:tc>
          <w:tcPr>
            <w:tcW w:w="1079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Test</w:t>
            </w:r>
          </w:p>
        </w:tc>
        <w:tc>
          <w:tcPr>
            <w:tcW w:w="594" w:type="pct"/>
          </w:tcPr>
          <w:p w:rsidR="008A2F11" w:rsidRDefault="008A2F11" w:rsidP="00EF755C">
            <w:pPr>
              <w:jc w:val="both"/>
              <w:rPr>
                <w:sz w:val="22"/>
                <w:szCs w:val="22"/>
                <w:lang w:val="pl-PL"/>
              </w:rPr>
            </w:pPr>
            <w:r w:rsidRPr="004A37CD">
              <w:rPr>
                <w:sz w:val="22"/>
                <w:szCs w:val="22"/>
                <w:lang w:val="pl-PL"/>
              </w:rPr>
              <w:t>40</w:t>
            </w:r>
          </w:p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712" w:type="pct"/>
          </w:tcPr>
          <w:p w:rsidR="008A2F11" w:rsidRPr="004A37CD" w:rsidRDefault="008A2F11" w:rsidP="00EF755C">
            <w:pPr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 xml:space="preserve">End of the semester </w:t>
            </w:r>
          </w:p>
        </w:tc>
        <w:tc>
          <w:tcPr>
            <w:tcW w:w="2615" w:type="pct"/>
            <w:vMerge w:val="restart"/>
          </w:tcPr>
          <w:p w:rsidR="008A2F11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 xml:space="preserve">Ability to demonstrate knowledge in </w:t>
            </w:r>
            <w:r>
              <w:rPr>
                <w:sz w:val="22"/>
                <w:szCs w:val="22"/>
                <w:lang w:val="en-GB"/>
              </w:rPr>
              <w:t>Antisemitism History</w:t>
            </w:r>
            <w:r w:rsidRPr="004A37CD">
              <w:rPr>
                <w:sz w:val="22"/>
                <w:szCs w:val="22"/>
                <w:lang w:val="en-GB"/>
              </w:rPr>
              <w:t>, critically assess the topics, skills of individual work: critical analysis of sources and historiography, ability to present the topic to the audience, critical thinking.</w:t>
            </w:r>
            <w:r>
              <w:rPr>
                <w:sz w:val="22"/>
                <w:szCs w:val="22"/>
                <w:lang w:val="en-GB"/>
              </w:rPr>
              <w:t xml:space="preserve"> Understanding of process development and developing the skills to recognise different forms of Antisemitism. </w:t>
            </w:r>
          </w:p>
          <w:p w:rsidR="008A2F11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8A2F11" w:rsidRPr="004A37CD" w:rsidTr="008A2F11">
        <w:tc>
          <w:tcPr>
            <w:tcW w:w="1079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Presentation</w:t>
            </w:r>
            <w:r w:rsidR="009D2634">
              <w:rPr>
                <w:sz w:val="22"/>
                <w:szCs w:val="22"/>
                <w:lang w:val="en-GB"/>
              </w:rPr>
              <w:t xml:space="preserve"> ( </w:t>
            </w:r>
            <w:r w:rsidR="00830785">
              <w:rPr>
                <w:sz w:val="22"/>
                <w:szCs w:val="22"/>
                <w:lang w:val="en-GB"/>
              </w:rPr>
              <w:t>prepared</w:t>
            </w:r>
            <w:r w:rsidR="009D2634">
              <w:rPr>
                <w:sz w:val="22"/>
                <w:szCs w:val="22"/>
                <w:lang w:val="en-GB"/>
              </w:rPr>
              <w:t xml:space="preserve"> in groups and presented in the seminars)</w:t>
            </w:r>
          </w:p>
        </w:tc>
        <w:tc>
          <w:tcPr>
            <w:tcW w:w="594" w:type="pct"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  <w:r w:rsidRPr="004A37CD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712" w:type="pct"/>
          </w:tcPr>
          <w:p w:rsidR="008A2F11" w:rsidRPr="004A37CD" w:rsidRDefault="008A2F11" w:rsidP="00EF755C">
            <w:pPr>
              <w:rPr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en-GB"/>
              </w:rPr>
              <w:t>End of  the semester</w:t>
            </w:r>
          </w:p>
        </w:tc>
        <w:tc>
          <w:tcPr>
            <w:tcW w:w="2615" w:type="pct"/>
            <w:vMerge/>
          </w:tcPr>
          <w:p w:rsidR="008A2F11" w:rsidRPr="004A37CD" w:rsidRDefault="008A2F11" w:rsidP="00EF755C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8A2F11" w:rsidRDefault="008A2F11" w:rsidP="008A2F11">
      <w:pPr>
        <w:rPr>
          <w:sz w:val="22"/>
          <w:szCs w:val="22"/>
          <w:lang w:val="en-GB"/>
        </w:rPr>
      </w:pPr>
    </w:p>
    <w:p w:rsidR="008A2F11" w:rsidRDefault="008A2F11" w:rsidP="008A2F11">
      <w:pPr>
        <w:rPr>
          <w:sz w:val="22"/>
          <w:szCs w:val="22"/>
          <w:lang w:val="en-GB"/>
        </w:rPr>
      </w:pPr>
    </w:p>
    <w:p w:rsidR="008A2F11" w:rsidRDefault="008A2F11" w:rsidP="008A2F11">
      <w:pPr>
        <w:rPr>
          <w:sz w:val="22"/>
          <w:szCs w:val="22"/>
          <w:lang w:val="en-GB"/>
        </w:rPr>
      </w:pPr>
    </w:p>
    <w:p w:rsidR="008A2F11" w:rsidRDefault="008A2F11" w:rsidP="008A2F11">
      <w:pPr>
        <w:rPr>
          <w:sz w:val="22"/>
          <w:szCs w:val="22"/>
          <w:lang w:val="en-GB"/>
        </w:rPr>
      </w:pPr>
    </w:p>
    <w:p w:rsidR="008A2F11" w:rsidRDefault="008A2F11" w:rsidP="008A2F11">
      <w:pPr>
        <w:rPr>
          <w:sz w:val="22"/>
          <w:szCs w:val="22"/>
          <w:lang w:val="en-GB"/>
        </w:rPr>
      </w:pPr>
    </w:p>
    <w:p w:rsidR="008A2F11" w:rsidRDefault="008A2F11" w:rsidP="008A2F11">
      <w:pPr>
        <w:rPr>
          <w:sz w:val="22"/>
          <w:szCs w:val="22"/>
          <w:lang w:val="en-GB"/>
        </w:rPr>
      </w:pPr>
    </w:p>
    <w:p w:rsidR="008A2F11" w:rsidRPr="004A37CD" w:rsidRDefault="008A2F11" w:rsidP="008A2F11">
      <w:pPr>
        <w:rPr>
          <w:sz w:val="22"/>
          <w:szCs w:val="22"/>
          <w:lang w:val="en-GB"/>
        </w:rPr>
      </w:pPr>
    </w:p>
    <w:tbl>
      <w:tblPr>
        <w:tblW w:w="552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060"/>
        <w:gridCol w:w="1772"/>
        <w:gridCol w:w="877"/>
        <w:gridCol w:w="1417"/>
        <w:gridCol w:w="2638"/>
      </w:tblGrid>
      <w:tr w:rsidR="008A2F11" w:rsidRPr="004A37CD" w:rsidTr="00FA653D">
        <w:tc>
          <w:tcPr>
            <w:tcW w:w="1433" w:type="pct"/>
            <w:shd w:val="clear" w:color="auto" w:fill="E6E6E6"/>
          </w:tcPr>
          <w:p w:rsidR="008A2F11" w:rsidRPr="004A37CD" w:rsidRDefault="008A2F11" w:rsidP="00EF755C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color w:val="000000"/>
                <w:sz w:val="22"/>
                <w:szCs w:val="22"/>
                <w:lang w:val="en-GB"/>
              </w:rPr>
              <w:t>Author</w:t>
            </w:r>
          </w:p>
        </w:tc>
        <w:tc>
          <w:tcPr>
            <w:tcW w:w="487" w:type="pct"/>
            <w:shd w:val="clear" w:color="auto" w:fill="E6E6E6"/>
          </w:tcPr>
          <w:p w:rsidR="008A2F11" w:rsidRPr="004A37CD" w:rsidRDefault="008A2F11" w:rsidP="00EF755C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b/>
                <w:sz w:val="22"/>
                <w:szCs w:val="22"/>
                <w:lang w:val="en-GB"/>
              </w:rPr>
              <w:t>Year of publication</w:t>
            </w:r>
          </w:p>
        </w:tc>
        <w:tc>
          <w:tcPr>
            <w:tcW w:w="1217" w:type="pct"/>
            <w:gridSpan w:val="2"/>
            <w:shd w:val="clear" w:color="auto" w:fill="E6E6E6"/>
          </w:tcPr>
          <w:p w:rsidR="008A2F11" w:rsidRPr="004A37CD" w:rsidRDefault="008A2F11" w:rsidP="00EF755C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color w:val="000000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51" w:type="pct"/>
            <w:shd w:val="clear" w:color="auto" w:fill="E6E6E6"/>
          </w:tcPr>
          <w:p w:rsidR="008A2F11" w:rsidRPr="004A37CD" w:rsidRDefault="008A2F11" w:rsidP="00EF755C">
            <w:pPr>
              <w:jc w:val="both"/>
              <w:outlineLvl w:val="3"/>
              <w:rPr>
                <w:b/>
                <w:sz w:val="22"/>
                <w:szCs w:val="22"/>
                <w:lang w:val="en-GB"/>
              </w:rPr>
            </w:pPr>
            <w:r w:rsidRPr="004A37CD">
              <w:rPr>
                <w:b/>
                <w:sz w:val="22"/>
                <w:szCs w:val="22"/>
                <w:lang w:val="en-GB"/>
              </w:rPr>
              <w:t>Issue of a periodical</w:t>
            </w:r>
          </w:p>
          <w:p w:rsidR="008A2F11" w:rsidRPr="004A37CD" w:rsidRDefault="008A2F11" w:rsidP="00EF755C">
            <w:pPr>
              <w:pStyle w:val="CommentText"/>
              <w:rPr>
                <w:sz w:val="22"/>
                <w:szCs w:val="22"/>
                <w:lang w:val="en-GB"/>
              </w:rPr>
            </w:pPr>
            <w:r w:rsidRPr="004A37CD">
              <w:rPr>
                <w:b/>
                <w:sz w:val="22"/>
                <w:szCs w:val="22"/>
                <w:lang w:val="en-GB"/>
              </w:rPr>
              <w:t>or volume of a publication</w:t>
            </w:r>
          </w:p>
        </w:tc>
        <w:tc>
          <w:tcPr>
            <w:tcW w:w="1212" w:type="pct"/>
            <w:shd w:val="clear" w:color="auto" w:fill="E6E6E6"/>
          </w:tcPr>
          <w:p w:rsidR="008A2F11" w:rsidRPr="004A37CD" w:rsidRDefault="008A2F11" w:rsidP="00EF755C">
            <w:pPr>
              <w:ind w:right="-143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Publishing place and house </w:t>
            </w:r>
          </w:p>
          <w:p w:rsidR="008A2F11" w:rsidRPr="004A37CD" w:rsidRDefault="008A2F11" w:rsidP="00EF755C">
            <w:pPr>
              <w:ind w:right="-143"/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or web link </w:t>
            </w:r>
          </w:p>
        </w:tc>
      </w:tr>
      <w:tr w:rsidR="008A2F11" w:rsidRPr="004A37CD" w:rsidTr="008A2F11">
        <w:tc>
          <w:tcPr>
            <w:tcW w:w="5000" w:type="pct"/>
            <w:gridSpan w:val="6"/>
            <w:shd w:val="clear" w:color="auto" w:fill="D9D9D9"/>
          </w:tcPr>
          <w:p w:rsidR="008A2F11" w:rsidRPr="004A37CD" w:rsidRDefault="008A2F11" w:rsidP="00EF755C">
            <w:pPr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color w:val="000000"/>
                <w:sz w:val="22"/>
                <w:szCs w:val="22"/>
                <w:lang w:val="en-GB"/>
              </w:rPr>
              <w:t>Compulsory reading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rFonts w:eastAsia="MS Mincho"/>
                <w:sz w:val="22"/>
                <w:szCs w:val="22"/>
              </w:rPr>
              <w:t xml:space="preserve">Moshe </w:t>
            </w:r>
            <w:proofErr w:type="spellStart"/>
            <w:r w:rsidRPr="004A37CD">
              <w:rPr>
                <w:rFonts w:eastAsia="MS Mincho"/>
                <w:sz w:val="22"/>
                <w:szCs w:val="22"/>
              </w:rPr>
              <w:t>Rosman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rFonts w:eastAsia="MS Mincho"/>
                <w:sz w:val="22"/>
                <w:szCs w:val="22"/>
              </w:rPr>
              <w:t>2007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color w:val="1A1A1A"/>
                <w:sz w:val="22"/>
                <w:szCs w:val="22"/>
              </w:rPr>
            </w:pPr>
            <w:r w:rsidRPr="004A37CD">
              <w:rPr>
                <w:rFonts w:eastAsia="MS Mincho"/>
                <w:color w:val="1A1A1A"/>
                <w:sz w:val="22"/>
                <w:szCs w:val="22"/>
              </w:rPr>
              <w:t>Hybrid with What? The Relationship between Jewish Culture and Other People’s Cultures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pt-BR"/>
              </w:rPr>
            </w:pPr>
            <w:r w:rsidRPr="004A37CD">
              <w:rPr>
                <w:rFonts w:eastAsia="MS Mincho"/>
                <w:color w:val="1D1D1D"/>
                <w:sz w:val="22"/>
                <w:szCs w:val="22"/>
              </w:rPr>
              <w:t>How Jewish is Jewish History?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  <w:lang w:val="pt-BR"/>
              </w:rPr>
            </w:pPr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Oxford: Littman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library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of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Jewish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Civilization</w:t>
            </w:r>
            <w:proofErr w:type="spellEnd"/>
          </w:p>
          <w:p w:rsidR="008A2F11" w:rsidRPr="004A37CD" w:rsidRDefault="008A2F11" w:rsidP="00EF755C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  <w:r w:rsidRPr="004A37CD">
              <w:rPr>
                <w:rFonts w:eastAsia="MS Mincho"/>
                <w:sz w:val="22"/>
                <w:szCs w:val="22"/>
              </w:rPr>
              <w:t>Ezra Mendelsohn</w:t>
            </w:r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4A37CD">
              <w:rPr>
                <w:rFonts w:eastAsia="MS Mincho"/>
                <w:color w:val="1D1D1D"/>
                <w:sz w:val="22"/>
                <w:szCs w:val="22"/>
              </w:rPr>
              <w:t>1983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  <w:lang w:val="pt-BR"/>
              </w:rPr>
            </w:pPr>
            <w:proofErr w:type="spellStart"/>
            <w:r w:rsidRPr="004A37CD">
              <w:rPr>
                <w:sz w:val="22"/>
                <w:szCs w:val="22"/>
                <w:lang w:val="pt-BR"/>
              </w:rPr>
              <w:t>Lithuania</w:t>
            </w:r>
            <w:proofErr w:type="spellEnd"/>
            <w:r w:rsidRPr="004A37CD">
              <w:rPr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4A37CD">
              <w:rPr>
                <w:sz w:val="22"/>
                <w:szCs w:val="22"/>
                <w:lang w:val="pt-BR"/>
              </w:rPr>
              <w:t>pages</w:t>
            </w:r>
            <w:proofErr w:type="spellEnd"/>
            <w:r w:rsidRPr="004A37CD">
              <w:rPr>
                <w:sz w:val="22"/>
                <w:szCs w:val="22"/>
                <w:lang w:val="pt-BR"/>
              </w:rPr>
              <w:t xml:space="preserve"> 213-239)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  <w:lang w:val="pt-BR"/>
              </w:rPr>
            </w:pPr>
            <w:r w:rsidRPr="004A37CD">
              <w:rPr>
                <w:rFonts w:eastAsia="MS Mincho"/>
                <w:color w:val="1D1D1D"/>
                <w:sz w:val="22"/>
                <w:szCs w:val="22"/>
              </w:rPr>
              <w:t>The Jews of East Central Europe Between the World Wars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sz w:val="22"/>
                <w:szCs w:val="22"/>
              </w:rPr>
            </w:pPr>
            <w:r w:rsidRPr="004A37CD">
              <w:rPr>
                <w:rFonts w:eastAsia="Arial Unicode MS"/>
                <w:color w:val="2B1B1F"/>
                <w:sz w:val="22"/>
                <w:szCs w:val="22"/>
              </w:rPr>
              <w:t>Bloomington : Indiana University Press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4A37CD">
              <w:rPr>
                <w:rFonts w:eastAsia="MS Mincho"/>
                <w:color w:val="1D1D1D"/>
                <w:sz w:val="22"/>
                <w:szCs w:val="22"/>
              </w:rPr>
              <w:t>Šarūnas</w:t>
            </w:r>
            <w:proofErr w:type="spellEnd"/>
            <w:r w:rsidRPr="004A37CD">
              <w:rPr>
                <w:rFonts w:eastAsia="MS Mincho"/>
                <w:color w:val="1D1D1D"/>
                <w:sz w:val="22"/>
                <w:szCs w:val="22"/>
              </w:rPr>
              <w:t xml:space="preserve"> </w:t>
            </w:r>
            <w:proofErr w:type="spellStart"/>
            <w:r w:rsidRPr="004A37CD">
              <w:rPr>
                <w:rFonts w:eastAsia="MS Mincho"/>
                <w:color w:val="1D1D1D"/>
                <w:sz w:val="22"/>
                <w:szCs w:val="22"/>
              </w:rPr>
              <w:t>Liekis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4A37CD">
              <w:rPr>
                <w:rFonts w:eastAsia="Arial Unicode MS"/>
                <w:color w:val="2B1B1F"/>
                <w:sz w:val="22"/>
                <w:szCs w:val="22"/>
              </w:rPr>
              <w:t>2003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rStyle w:val="Emphasis"/>
                <w:i w:val="0"/>
                <w:sz w:val="22"/>
                <w:szCs w:val="22"/>
              </w:rPr>
            </w:pPr>
            <w:proofErr w:type="spellStart"/>
            <w:r w:rsidRPr="004A37CD">
              <w:rPr>
                <w:rFonts w:eastAsia="MS Mincho"/>
                <w:color w:val="1D1D1D"/>
                <w:sz w:val="22"/>
                <w:szCs w:val="22"/>
              </w:rPr>
              <w:t>Šarūnas</w:t>
            </w:r>
            <w:proofErr w:type="spellEnd"/>
            <w:r w:rsidRPr="004A37CD">
              <w:rPr>
                <w:rFonts w:eastAsia="MS Mincho"/>
                <w:color w:val="1D1D1D"/>
                <w:sz w:val="22"/>
                <w:szCs w:val="22"/>
              </w:rPr>
              <w:t xml:space="preserve"> </w:t>
            </w:r>
            <w:proofErr w:type="spellStart"/>
            <w:r w:rsidRPr="004A37CD">
              <w:rPr>
                <w:rFonts w:eastAsia="MS Mincho"/>
                <w:color w:val="1D1D1D"/>
                <w:sz w:val="22"/>
                <w:szCs w:val="22"/>
              </w:rPr>
              <w:t>Liekis</w:t>
            </w:r>
            <w:proofErr w:type="spellEnd"/>
            <w:r w:rsidRPr="004A37CD">
              <w:rPr>
                <w:rFonts w:eastAsia="MS Mincho"/>
                <w:color w:val="1D1D1D"/>
                <w:sz w:val="22"/>
                <w:szCs w:val="22"/>
              </w:rPr>
              <w:t>, A State Within a State?: Jewish Autonomy in Lithuania 1918-1925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sz w:val="22"/>
                <w:szCs w:val="22"/>
              </w:rPr>
            </w:pPr>
            <w:r w:rsidRPr="004A37CD">
              <w:rPr>
                <w:sz w:val="22"/>
                <w:szCs w:val="22"/>
              </w:rPr>
              <w:t>Vilnius: Versus Aureus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4A37CD">
              <w:rPr>
                <w:sz w:val="22"/>
                <w:szCs w:val="22"/>
              </w:rPr>
              <w:t>Zvi</w:t>
            </w:r>
            <w:proofErr w:type="spellEnd"/>
            <w:r w:rsidRPr="004A37CD">
              <w:rPr>
                <w:sz w:val="22"/>
                <w:szCs w:val="22"/>
              </w:rPr>
              <w:t xml:space="preserve"> </w:t>
            </w:r>
            <w:proofErr w:type="spellStart"/>
            <w:r w:rsidRPr="004A37CD">
              <w:rPr>
                <w:sz w:val="22"/>
                <w:szCs w:val="22"/>
              </w:rPr>
              <w:t>Gitelman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4A37CD">
              <w:rPr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  <w:r w:rsidRPr="004A37CD">
              <w:rPr>
                <w:sz w:val="22"/>
                <w:szCs w:val="22"/>
              </w:rPr>
              <w:t>Soviet Jews, 1967-1987, To reform, conform, or leave? (pages 174-195)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proofErr w:type="gramStart"/>
            <w:r w:rsidRPr="004A37CD">
              <w:rPr>
                <w:color w:val="000000"/>
                <w:sz w:val="22"/>
                <w:szCs w:val="22"/>
                <w:lang w:val="en-GB"/>
              </w:rPr>
              <w:t>in</w:t>
            </w:r>
            <w:proofErr w:type="gramEnd"/>
            <w:r w:rsidRPr="004A37CD">
              <w:rPr>
                <w:color w:val="000000"/>
                <w:sz w:val="22"/>
                <w:szCs w:val="22"/>
                <w:lang w:val="en-GB"/>
              </w:rPr>
              <w:t>: A Century of Ambivalence. The Jews of Russia and the Soviet Union, 1881 to the present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rPr>
                <w:color w:val="333333"/>
                <w:sz w:val="22"/>
                <w:szCs w:val="22"/>
              </w:rPr>
            </w:pPr>
            <w:r w:rsidRPr="004A37CD">
              <w:rPr>
                <w:color w:val="333333"/>
                <w:sz w:val="22"/>
                <w:szCs w:val="22"/>
              </w:rPr>
              <w:t>Bloomington: Indiana University Press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  <w:lang w:val="lt-LT"/>
              </w:rPr>
            </w:pPr>
            <w:proofErr w:type="spellStart"/>
            <w:r w:rsidRPr="004A37CD">
              <w:rPr>
                <w:sz w:val="22"/>
                <w:szCs w:val="22"/>
              </w:rPr>
              <w:t>Saulius</w:t>
            </w:r>
            <w:proofErr w:type="spellEnd"/>
            <w:r w:rsidRPr="004A37CD">
              <w:rPr>
                <w:sz w:val="22"/>
                <w:szCs w:val="22"/>
              </w:rPr>
              <w:t xml:space="preserve"> Su</w:t>
            </w:r>
            <w:r w:rsidRPr="004A37CD">
              <w:rPr>
                <w:sz w:val="22"/>
                <w:szCs w:val="22"/>
                <w:lang w:val="lt-LT"/>
              </w:rPr>
              <w:t xml:space="preserve">žiedėlis, Šarūnas </w:t>
            </w:r>
            <w:r w:rsidRPr="004A37CD">
              <w:rPr>
                <w:sz w:val="22"/>
                <w:szCs w:val="22"/>
                <w:lang w:val="lt-LT"/>
              </w:rPr>
              <w:lastRenderedPageBreak/>
              <w:t>Liekis</w:t>
            </w:r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4A37CD">
              <w:rPr>
                <w:bCs/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  <w:r w:rsidRPr="004A37CD">
              <w:rPr>
                <w:sz w:val="22"/>
                <w:szCs w:val="22"/>
              </w:rPr>
              <w:t xml:space="preserve">Conflicting </w:t>
            </w:r>
            <w:r w:rsidRPr="004A37CD">
              <w:rPr>
                <w:sz w:val="22"/>
                <w:szCs w:val="22"/>
              </w:rPr>
              <w:lastRenderedPageBreak/>
              <w:t>Memories. Reception of the Holocaust in Lithuania (319-351)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color w:val="000000"/>
                <w:sz w:val="22"/>
                <w:szCs w:val="22"/>
                <w:lang w:val="en-GB"/>
              </w:rPr>
              <w:lastRenderedPageBreak/>
              <w:t xml:space="preserve">Bringing the Dark Past </w:t>
            </w:r>
            <w:r w:rsidRPr="004A37CD">
              <w:rPr>
                <w:color w:val="000000"/>
                <w:sz w:val="22"/>
                <w:szCs w:val="22"/>
                <w:lang w:val="en-GB"/>
              </w:rPr>
              <w:lastRenderedPageBreak/>
              <w:t xml:space="preserve">to Light: The Reception of the Holocaust in </w:t>
            </w:r>
            <w:proofErr w:type="spellStart"/>
            <w:r w:rsidRPr="004A37CD">
              <w:rPr>
                <w:color w:val="000000"/>
                <w:sz w:val="22"/>
                <w:szCs w:val="22"/>
                <w:lang w:val="en-GB"/>
              </w:rPr>
              <w:t>Postcommunist</w:t>
            </w:r>
            <w:proofErr w:type="spellEnd"/>
            <w:r w:rsidRPr="004A37CD">
              <w:rPr>
                <w:color w:val="000000"/>
                <w:sz w:val="22"/>
                <w:szCs w:val="22"/>
                <w:lang w:val="en-GB"/>
              </w:rPr>
              <w:t xml:space="preserve"> Europe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rPr>
                <w:color w:val="333333"/>
                <w:sz w:val="22"/>
                <w:szCs w:val="22"/>
              </w:rPr>
            </w:pPr>
            <w:r w:rsidRPr="004A37CD">
              <w:rPr>
                <w:color w:val="333333"/>
                <w:sz w:val="22"/>
                <w:szCs w:val="22"/>
              </w:rPr>
              <w:lastRenderedPageBreak/>
              <w:t xml:space="preserve">University of Nebraska </w:t>
            </w:r>
            <w:r w:rsidRPr="004A37CD">
              <w:rPr>
                <w:color w:val="333333"/>
                <w:sz w:val="22"/>
                <w:szCs w:val="22"/>
              </w:rPr>
              <w:lastRenderedPageBreak/>
              <w:t>Press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  <w:r w:rsidRPr="004A37CD">
              <w:rPr>
                <w:sz w:val="22"/>
                <w:szCs w:val="22"/>
              </w:rPr>
              <w:lastRenderedPageBreak/>
              <w:t xml:space="preserve">Mordechai </w:t>
            </w:r>
            <w:proofErr w:type="spellStart"/>
            <w:r w:rsidRPr="004A37CD">
              <w:rPr>
                <w:sz w:val="22"/>
                <w:szCs w:val="22"/>
              </w:rPr>
              <w:t>Zalkin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4A37CD">
              <w:rPr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  <w:r w:rsidRPr="004A37CD">
              <w:rPr>
                <w:sz w:val="22"/>
                <w:szCs w:val="22"/>
              </w:rPr>
              <w:t>Lithuanian Jewry and the Concept of ‘East European Jewry’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A37CD">
              <w:rPr>
                <w:color w:val="000000"/>
                <w:sz w:val="22"/>
                <w:szCs w:val="22"/>
                <w:lang w:val="en-GB"/>
              </w:rPr>
              <w:t>Polin</w:t>
            </w:r>
            <w:proofErr w:type="spellEnd"/>
            <w:r w:rsidRPr="004A37CD">
              <w:rPr>
                <w:color w:val="000000"/>
                <w:sz w:val="22"/>
                <w:szCs w:val="22"/>
                <w:lang w:val="en-GB"/>
              </w:rPr>
              <w:t>, volume 25, pages 57-70.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  <w:lang w:val="pt-BR"/>
              </w:rPr>
            </w:pPr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Oxford: Littman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library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of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Jewish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Civilization</w:t>
            </w:r>
            <w:proofErr w:type="spellEnd"/>
          </w:p>
          <w:p w:rsidR="008A2F11" w:rsidRPr="004A37CD" w:rsidRDefault="008A2F11" w:rsidP="00EF755C">
            <w:pPr>
              <w:rPr>
                <w:color w:val="333333"/>
                <w:sz w:val="22"/>
                <w:szCs w:val="22"/>
              </w:rPr>
            </w:pP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4A37CD">
              <w:rPr>
                <w:rFonts w:eastAsia="MS Mincho"/>
                <w:sz w:val="22"/>
                <w:szCs w:val="22"/>
              </w:rPr>
              <w:t>Gershon</w:t>
            </w:r>
            <w:proofErr w:type="spellEnd"/>
            <w:r w:rsidRPr="004A37CD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4A37CD">
              <w:rPr>
                <w:rFonts w:eastAsia="MS Mincho"/>
                <w:sz w:val="22"/>
                <w:szCs w:val="22"/>
              </w:rPr>
              <w:t>Hundert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rFonts w:eastAsia="MS Mincho"/>
                <w:color w:val="1D1D1D"/>
                <w:sz w:val="22"/>
                <w:szCs w:val="22"/>
              </w:rPr>
              <w:t>2004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ru-RU"/>
              </w:rPr>
            </w:pPr>
            <w:r w:rsidRPr="004A37CD">
              <w:rPr>
                <w:rFonts w:eastAsia="MS Mincho"/>
                <w:color w:val="1D1D1D"/>
                <w:sz w:val="22"/>
                <w:szCs w:val="22"/>
              </w:rPr>
              <w:t>The Community (pages 79-98)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ru-RU"/>
              </w:rPr>
            </w:pPr>
            <w:r w:rsidRPr="004A37CD">
              <w:rPr>
                <w:rFonts w:eastAsia="MS Mincho"/>
                <w:color w:val="1D1D1D"/>
                <w:sz w:val="22"/>
                <w:szCs w:val="22"/>
              </w:rPr>
              <w:t>Jews in Poland-Lithuania in the Eighteenth Century: A Genealogy of Modernity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4A37CD">
              <w:rPr>
                <w:color w:val="000000"/>
                <w:sz w:val="22"/>
                <w:szCs w:val="22"/>
                <w:lang w:val="ru-RU"/>
              </w:rPr>
              <w:t>University</w:t>
            </w:r>
            <w:proofErr w:type="spellEnd"/>
            <w:r w:rsidRPr="004A37C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ru-RU"/>
              </w:rPr>
              <w:t>of</w:t>
            </w:r>
            <w:proofErr w:type="spellEnd"/>
            <w:r w:rsidRPr="004A37C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ru-RU"/>
              </w:rPr>
              <w:t>California</w:t>
            </w:r>
            <w:proofErr w:type="spellEnd"/>
            <w:r w:rsidRPr="004A37C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ru-RU"/>
              </w:rPr>
              <w:t>Press</w:t>
            </w:r>
            <w:proofErr w:type="spellEnd"/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 xml:space="preserve">Darius </w:t>
            </w:r>
            <w:proofErr w:type="spellStart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Staliūnas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Lithuanian Antisemitism in the Late Nineteenth and Early Twentieth Centuries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proofErr w:type="spellStart"/>
            <w:r w:rsidRPr="004A37C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Polin</w:t>
            </w:r>
            <w:proofErr w:type="spellEnd"/>
            <w:r w:rsidRPr="004A37C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: Studies in Polish Jewry,</w:t>
            </w:r>
            <w:r w:rsidRPr="004A37CD">
              <w:rPr>
                <w:rStyle w:val="apple-converted-space"/>
                <w:i/>
                <w:iCs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vol. 25:</w:t>
            </w:r>
            <w:r w:rsidRPr="004A37CD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A37C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Jews in the former Grand Duchy of Lithuania since 1772</w:t>
            </w: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, p. 135-149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  <w:lang w:val="pt-BR"/>
              </w:rPr>
            </w:pPr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Oxford: Littman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library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of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Jewish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Civilization</w:t>
            </w:r>
            <w:proofErr w:type="spellEnd"/>
          </w:p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  <w:lang w:val="pt-BR"/>
              </w:rPr>
            </w:pP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 xml:space="preserve">John D. </w:t>
            </w:r>
            <w:proofErr w:type="spellStart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Klier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1992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“The Pogrom Paradigm in Russian History.”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Pogroms: Anti-Jewish Violence in Modern Russian History</w:t>
            </w: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 xml:space="preserve">, eds. John D. </w:t>
            </w:r>
            <w:proofErr w:type="spellStart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Klier</w:t>
            </w:r>
            <w:proofErr w:type="spellEnd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Schlomo</w:t>
            </w:r>
            <w:proofErr w:type="spellEnd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Lambroza</w:t>
            </w:r>
            <w:proofErr w:type="spellEnd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, Cambridge: 1992, pp. 13–38.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  <w:lang w:val="ru-RU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Cambridge University Press,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Richter, Klaus</w:t>
            </w:r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2012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“</w:t>
            </w: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Antisemitism, ‘Economic Emancipation’ and the Lithuanian Cooperative Movement before World War I.”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Quest: Issues in Con temporary Jewish History; Journal of Fondazione CDEC</w:t>
            </w: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, July 3, 2012.</w:t>
            </w:r>
            <w:r w:rsidRPr="004A37CD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  <w:lang w:val="ru-RU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www.quest-cdec</w:t>
            </w:r>
            <w:r w:rsidRPr="004A37CD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="00871095">
              <w:fldChar w:fldCharType="begin"/>
            </w:r>
            <w:r w:rsidR="00871095">
              <w:instrText xml:space="preserve"> HYPERLINK "http://journal.it/focus.php?id=300" \t "_blank" </w:instrText>
            </w:r>
            <w:r w:rsidR="00871095">
              <w:fldChar w:fldCharType="separate"/>
            </w:r>
            <w:r w:rsidRPr="004A37CD">
              <w:rPr>
                <w:rStyle w:val="Hyperlink"/>
                <w:color w:val="1155CC"/>
                <w:sz w:val="22"/>
                <w:szCs w:val="22"/>
                <w:shd w:val="clear" w:color="auto" w:fill="FFFFFF"/>
              </w:rPr>
              <w:t>journal.it/</w:t>
            </w:r>
            <w:proofErr w:type="spellStart"/>
            <w:r w:rsidRPr="004A37CD">
              <w:rPr>
                <w:rStyle w:val="Hyperlink"/>
                <w:color w:val="1155CC"/>
                <w:sz w:val="22"/>
                <w:szCs w:val="22"/>
                <w:shd w:val="clear" w:color="auto" w:fill="FFFFFF"/>
              </w:rPr>
              <w:t>focus.php?id</w:t>
            </w:r>
            <w:proofErr w:type="spellEnd"/>
            <w:r w:rsidRPr="004A37CD">
              <w:rPr>
                <w:rStyle w:val="Hyperlink"/>
                <w:color w:val="1155CC"/>
                <w:sz w:val="22"/>
                <w:szCs w:val="22"/>
                <w:shd w:val="clear" w:color="auto" w:fill="FFFFFF"/>
              </w:rPr>
              <w:t>=300</w:t>
            </w:r>
            <w:r w:rsidR="00871095">
              <w:rPr>
                <w:rStyle w:val="Hyperlink"/>
                <w:color w:val="1155CC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sz w:val="22"/>
                <w:szCs w:val="22"/>
              </w:rPr>
            </w:pPr>
            <w:proofErr w:type="spellStart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Zalkin</w:t>
            </w:r>
            <w:proofErr w:type="spellEnd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, Mordechai</w:t>
            </w:r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2010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“Antisemitism in Lithuania.”</w:t>
            </w:r>
            <w:r w:rsidRPr="004A37CD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i/>
                <w:iCs/>
                <w:color w:val="222222"/>
                <w:sz w:val="22"/>
                <w:szCs w:val="22"/>
                <w:shd w:val="clear" w:color="auto" w:fill="FFFFFF"/>
              </w:rPr>
              <w:t>Antisemitism in Eastern Europe: History and Present in Comparison</w:t>
            </w: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 xml:space="preserve">, eds. Hans-Christian Peter </w:t>
            </w:r>
            <w:proofErr w:type="spellStart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sen</w:t>
            </w:r>
            <w:proofErr w:type="spellEnd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 xml:space="preserve"> and Samuel </w:t>
            </w:r>
            <w:proofErr w:type="spellStart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Salzborn</w:t>
            </w:r>
            <w:proofErr w:type="spellEnd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, Frankfurt am Main: 2010, pp. 135–170.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  <w:lang w:val="ru-RU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Peter Lang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 xml:space="preserve">Darius </w:t>
            </w:r>
            <w:proofErr w:type="spellStart"/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Staliūnas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2013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  <w:r w:rsidRPr="004A37CD">
              <w:rPr>
                <w:color w:val="222222"/>
                <w:sz w:val="22"/>
                <w:szCs w:val="22"/>
                <w:shd w:val="clear" w:color="auto" w:fill="FFFFFF"/>
              </w:rPr>
              <w:t>“How Insulted Religious Feelings Turned into Pogroms: Lithuania in 1900,”</w:t>
            </w:r>
            <w:r w:rsidRPr="004A37CD">
              <w:rPr>
                <w:rStyle w:val="apple-converted-space"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4A37CD">
              <w:rPr>
                <w:i/>
                <w:iCs/>
                <w:color w:val="222222"/>
                <w:sz w:val="22"/>
                <w:szCs w:val="22"/>
              </w:rPr>
              <w:t>East European Jewish Affairs</w:t>
            </w:r>
            <w:r w:rsidRPr="004A37CD">
              <w:rPr>
                <w:rStyle w:val="apple-converted-space"/>
                <w:i/>
                <w:iCs/>
                <w:color w:val="222222"/>
                <w:sz w:val="22"/>
                <w:szCs w:val="22"/>
              </w:rPr>
              <w:t> </w:t>
            </w:r>
            <w:r w:rsidRPr="004A37CD">
              <w:rPr>
                <w:color w:val="222222"/>
                <w:sz w:val="22"/>
                <w:szCs w:val="22"/>
              </w:rPr>
              <w:t>42, no. 2 (2013): 119–142</w:t>
            </w:r>
          </w:p>
          <w:p w:rsidR="008A2F11" w:rsidRPr="004A37CD" w:rsidRDefault="008A2F11" w:rsidP="00EF755C">
            <w:pPr>
              <w:jc w:val="both"/>
              <w:outlineLvl w:val="3"/>
              <w:rPr>
                <w:rFonts w:eastAsia="MS Mincho"/>
                <w:color w:val="1D1D1D"/>
                <w:sz w:val="22"/>
                <w:szCs w:val="22"/>
              </w:rPr>
            </w:pP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8A2F11" w:rsidRPr="004A37CD" w:rsidTr="008A2F11">
        <w:tc>
          <w:tcPr>
            <w:tcW w:w="5000" w:type="pct"/>
            <w:gridSpan w:val="6"/>
            <w:shd w:val="clear" w:color="auto" w:fill="D9D9D9"/>
          </w:tcPr>
          <w:p w:rsidR="008A2F11" w:rsidRPr="004A37CD" w:rsidRDefault="008A2F11" w:rsidP="00EF755C">
            <w:pPr>
              <w:outlineLvl w:val="3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b/>
                <w:bCs/>
                <w:color w:val="000000"/>
                <w:sz w:val="22"/>
                <w:szCs w:val="22"/>
                <w:lang w:val="en-GB"/>
              </w:rPr>
              <w:t>Optional reading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pt-BR"/>
              </w:rPr>
            </w:pP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Jurgita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Verbickienė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pt-BR"/>
              </w:rPr>
            </w:pPr>
            <w:r w:rsidRPr="004A37CD">
              <w:rPr>
                <w:rFonts w:eastAsia="MS Mincho"/>
                <w:color w:val="191450"/>
                <w:sz w:val="22"/>
                <w:szCs w:val="22"/>
              </w:rPr>
              <w:t>2008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pt-BR"/>
              </w:rPr>
            </w:pP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Blood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libel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in a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multi-</w:t>
            </w:r>
            <w:r w:rsidRPr="004A37CD">
              <w:rPr>
                <w:color w:val="000000"/>
                <w:sz w:val="22"/>
                <w:szCs w:val="22"/>
                <w:lang w:val="pt-BR"/>
              </w:rPr>
              <w:lastRenderedPageBreak/>
              <w:t>confessional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society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: the case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of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the Grand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Duchy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of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Lithuania</w:t>
            </w:r>
            <w:proofErr w:type="spellEnd"/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pt-BR"/>
              </w:rPr>
            </w:pP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lastRenderedPageBreak/>
              <w:t>East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European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Jewish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37CD">
              <w:rPr>
                <w:color w:val="000000"/>
                <w:sz w:val="22"/>
                <w:szCs w:val="22"/>
                <w:lang w:val="pt-BR"/>
              </w:rPr>
              <w:t>Affairs</w:t>
            </w:r>
            <w:proofErr w:type="spellEnd"/>
            <w:r w:rsidRPr="004A37CD">
              <w:rPr>
                <w:color w:val="000000"/>
                <w:sz w:val="22"/>
                <w:szCs w:val="22"/>
                <w:lang w:val="pt-BR"/>
              </w:rPr>
              <w:t xml:space="preserve">, </w:t>
            </w:r>
            <w:r w:rsidRPr="004A37CD">
              <w:rPr>
                <w:rFonts w:eastAsia="MS Mincho"/>
                <w:color w:val="191450"/>
                <w:sz w:val="22"/>
                <w:szCs w:val="22"/>
              </w:rPr>
              <w:t xml:space="preserve">38,2 (2008) </w:t>
            </w:r>
            <w:r w:rsidRPr="004A37CD">
              <w:rPr>
                <w:rFonts w:eastAsia="MS Mincho"/>
                <w:color w:val="191450"/>
                <w:sz w:val="22"/>
                <w:szCs w:val="22"/>
              </w:rPr>
              <w:lastRenderedPageBreak/>
              <w:t>pages 201-209</w:t>
            </w:r>
          </w:p>
        </w:tc>
        <w:tc>
          <w:tcPr>
            <w:tcW w:w="1212" w:type="pct"/>
          </w:tcPr>
          <w:p w:rsidR="008A2F11" w:rsidRDefault="008A2F11" w:rsidP="00EF755C">
            <w:pPr>
              <w:outlineLvl w:val="3"/>
              <w:rPr>
                <w:color w:val="000000"/>
                <w:sz w:val="22"/>
                <w:szCs w:val="22"/>
              </w:rPr>
            </w:pPr>
            <w:r w:rsidRPr="004A37CD">
              <w:rPr>
                <w:color w:val="000000"/>
                <w:sz w:val="22"/>
                <w:szCs w:val="22"/>
              </w:rPr>
              <w:lastRenderedPageBreak/>
              <w:t>Routledge Press</w:t>
            </w:r>
          </w:p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pt-BR"/>
              </w:rPr>
            </w:pPr>
            <w:r w:rsidRPr="004A37CD">
              <w:rPr>
                <w:rFonts w:eastAsia="ヒラギノ角ゴ Pro W3"/>
                <w:sz w:val="22"/>
                <w:szCs w:val="22"/>
                <w:lang w:val="lt-LT"/>
              </w:rPr>
              <w:lastRenderedPageBreak/>
              <w:t>Israel Bartal</w:t>
            </w:r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pt-BR"/>
              </w:rPr>
            </w:pPr>
            <w:r w:rsidRPr="004A37CD">
              <w:rPr>
                <w:color w:val="000000"/>
                <w:sz w:val="22"/>
                <w:szCs w:val="22"/>
                <w:lang w:val="pt-BR"/>
              </w:rPr>
              <w:t>2005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rFonts w:eastAsia="ヒラギノ角ゴ Pro W3"/>
                <w:sz w:val="22"/>
                <w:szCs w:val="22"/>
                <w:lang w:val="lt-LT"/>
              </w:rPr>
              <w:t>The Jews of Eastern Europe, 177–1881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rFonts w:eastAsia="Arial Unicode MS"/>
                <w:color w:val="2B1B1F"/>
                <w:sz w:val="22"/>
                <w:szCs w:val="22"/>
              </w:rPr>
              <w:t>Philadelphia : University of Pennsylvania Press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4A37CD">
              <w:rPr>
                <w:rFonts w:eastAsia="MS Mincho"/>
                <w:color w:val="1D1D1D"/>
                <w:sz w:val="22"/>
                <w:szCs w:val="22"/>
              </w:rPr>
              <w:t>Saulius</w:t>
            </w:r>
            <w:proofErr w:type="spellEnd"/>
            <w:r w:rsidRPr="004A37CD">
              <w:rPr>
                <w:rFonts w:eastAsia="MS Mincho"/>
                <w:color w:val="1D1D1D"/>
                <w:sz w:val="22"/>
                <w:szCs w:val="22"/>
              </w:rPr>
              <w:t xml:space="preserve"> </w:t>
            </w:r>
            <w:proofErr w:type="spellStart"/>
            <w:r w:rsidRPr="004A37CD">
              <w:rPr>
                <w:rFonts w:eastAsia="MS Mincho"/>
                <w:color w:val="1D1D1D"/>
                <w:sz w:val="22"/>
                <w:szCs w:val="22"/>
              </w:rPr>
              <w:t>Sužiedėlis</w:t>
            </w:r>
            <w:proofErr w:type="spellEnd"/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bCs/>
                <w:color w:val="000000"/>
                <w:sz w:val="22"/>
                <w:szCs w:val="22"/>
              </w:rPr>
            </w:pPr>
            <w:r w:rsidRPr="004A37CD">
              <w:rPr>
                <w:sz w:val="22"/>
                <w:szCs w:val="22"/>
                <w:lang w:val="lt-LT"/>
              </w:rPr>
              <w:t>2004</w:t>
            </w: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  <w:r w:rsidRPr="004A37CD">
              <w:rPr>
                <w:sz w:val="22"/>
                <w:szCs w:val="22"/>
              </w:rPr>
              <w:t xml:space="preserve">The Historical Sources for Antisemitism in Lithuania and Jewish-Lithuanian Relation during the 1930s </w:t>
            </w: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  <w:r w:rsidRPr="004A37CD">
              <w:rPr>
                <w:sz w:val="22"/>
                <w:szCs w:val="22"/>
                <w:lang w:val="lt-LT"/>
              </w:rPr>
              <w:t>The Vanished World of Lithuanian Jews / Ed. A. Nikžentaitis, S. Schreiner, D. Staliūnas. Amsterdam</w:t>
            </w:r>
            <w:r w:rsidRPr="004A37CD">
              <w:rPr>
                <w:sz w:val="22"/>
                <w:szCs w:val="22"/>
              </w:rPr>
              <w:t>, p. 119–154</w:t>
            </w:r>
          </w:p>
        </w:tc>
        <w:tc>
          <w:tcPr>
            <w:tcW w:w="1212" w:type="pct"/>
          </w:tcPr>
          <w:p w:rsidR="008A2F11" w:rsidRPr="004A37CD" w:rsidRDefault="008A2F11" w:rsidP="00EF755C">
            <w:pPr>
              <w:rPr>
                <w:color w:val="333333"/>
                <w:sz w:val="22"/>
                <w:szCs w:val="22"/>
              </w:rPr>
            </w:pPr>
            <w:r w:rsidRPr="004A37CD">
              <w:rPr>
                <w:sz w:val="22"/>
                <w:szCs w:val="22"/>
                <w:lang w:val="lt-LT"/>
              </w:rPr>
              <w:t>New York, NY: Rodopi</w:t>
            </w:r>
          </w:p>
        </w:tc>
      </w:tr>
      <w:tr w:rsidR="008A2F11" w:rsidRPr="004A37CD" w:rsidTr="00FA653D">
        <w:tc>
          <w:tcPr>
            <w:tcW w:w="1433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487" w:type="pct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14" w:type="pct"/>
          </w:tcPr>
          <w:p w:rsidR="008A2F11" w:rsidRPr="004A37CD" w:rsidRDefault="008A2F11" w:rsidP="00EF755C">
            <w:pPr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1054" w:type="pct"/>
            <w:gridSpan w:val="2"/>
          </w:tcPr>
          <w:p w:rsidR="008A2F11" w:rsidRPr="004A37CD" w:rsidRDefault="008A2F11" w:rsidP="00EF755C">
            <w:pPr>
              <w:jc w:val="both"/>
              <w:outlineLvl w:val="3"/>
              <w:rPr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12" w:type="pct"/>
          </w:tcPr>
          <w:p w:rsidR="008A2F11" w:rsidRPr="004A37CD" w:rsidRDefault="008A2F11" w:rsidP="00EF755C">
            <w:pPr>
              <w:outlineLvl w:val="3"/>
              <w:rPr>
                <w:color w:val="333333"/>
                <w:sz w:val="22"/>
                <w:szCs w:val="22"/>
              </w:rPr>
            </w:pPr>
          </w:p>
        </w:tc>
      </w:tr>
    </w:tbl>
    <w:p w:rsidR="008A2F11" w:rsidRPr="004A37CD" w:rsidRDefault="008A2F11" w:rsidP="008A2F11">
      <w:pPr>
        <w:jc w:val="center"/>
        <w:rPr>
          <w:sz w:val="22"/>
          <w:szCs w:val="22"/>
          <w:lang w:val="en-GB"/>
        </w:rPr>
      </w:pPr>
    </w:p>
    <w:p w:rsidR="008A2F11" w:rsidRPr="004A37CD" w:rsidRDefault="008A2F11" w:rsidP="008A2F11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en-GB"/>
        </w:rPr>
      </w:pPr>
    </w:p>
    <w:p w:rsidR="008A2F11" w:rsidRPr="004A37CD" w:rsidRDefault="008A2F11" w:rsidP="008A2F11">
      <w:pPr>
        <w:rPr>
          <w:sz w:val="22"/>
          <w:szCs w:val="22"/>
          <w:lang w:val="en-GB"/>
        </w:rPr>
      </w:pPr>
    </w:p>
    <w:p w:rsidR="00CB34DD" w:rsidRDefault="00CB34DD"/>
    <w:sectPr w:rsidR="00CB34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11"/>
    <w:rsid w:val="0000465D"/>
    <w:rsid w:val="00015CB5"/>
    <w:rsid w:val="00015F36"/>
    <w:rsid w:val="00016C13"/>
    <w:rsid w:val="00016CDC"/>
    <w:rsid w:val="00023064"/>
    <w:rsid w:val="00023A2D"/>
    <w:rsid w:val="000259B8"/>
    <w:rsid w:val="00032C27"/>
    <w:rsid w:val="00034AEA"/>
    <w:rsid w:val="00034C76"/>
    <w:rsid w:val="00036D6B"/>
    <w:rsid w:val="000415EE"/>
    <w:rsid w:val="00041BF6"/>
    <w:rsid w:val="00041C99"/>
    <w:rsid w:val="00047CCD"/>
    <w:rsid w:val="00051CE6"/>
    <w:rsid w:val="00052A32"/>
    <w:rsid w:val="00055F6C"/>
    <w:rsid w:val="000577BA"/>
    <w:rsid w:val="000603EB"/>
    <w:rsid w:val="00062474"/>
    <w:rsid w:val="000655F2"/>
    <w:rsid w:val="00066AC2"/>
    <w:rsid w:val="0007406D"/>
    <w:rsid w:val="00075888"/>
    <w:rsid w:val="00075BD9"/>
    <w:rsid w:val="000765D7"/>
    <w:rsid w:val="00076FDE"/>
    <w:rsid w:val="000770F3"/>
    <w:rsid w:val="000776F4"/>
    <w:rsid w:val="000802D3"/>
    <w:rsid w:val="00080628"/>
    <w:rsid w:val="000807E0"/>
    <w:rsid w:val="00081255"/>
    <w:rsid w:val="00082C0E"/>
    <w:rsid w:val="00086116"/>
    <w:rsid w:val="00086872"/>
    <w:rsid w:val="000869C0"/>
    <w:rsid w:val="000918DC"/>
    <w:rsid w:val="00092256"/>
    <w:rsid w:val="00092366"/>
    <w:rsid w:val="0009247C"/>
    <w:rsid w:val="0009473C"/>
    <w:rsid w:val="000969DD"/>
    <w:rsid w:val="0009764D"/>
    <w:rsid w:val="00097753"/>
    <w:rsid w:val="000A5798"/>
    <w:rsid w:val="000A5D31"/>
    <w:rsid w:val="000A6A54"/>
    <w:rsid w:val="000A7787"/>
    <w:rsid w:val="000B043D"/>
    <w:rsid w:val="000B0C46"/>
    <w:rsid w:val="000B229F"/>
    <w:rsid w:val="000B4988"/>
    <w:rsid w:val="000B4FFD"/>
    <w:rsid w:val="000B58C8"/>
    <w:rsid w:val="000C1788"/>
    <w:rsid w:val="000C2DA2"/>
    <w:rsid w:val="000C5C9D"/>
    <w:rsid w:val="000C7160"/>
    <w:rsid w:val="000C741D"/>
    <w:rsid w:val="000D3430"/>
    <w:rsid w:val="000D686B"/>
    <w:rsid w:val="000D7058"/>
    <w:rsid w:val="000E6916"/>
    <w:rsid w:val="000E75FC"/>
    <w:rsid w:val="000E7776"/>
    <w:rsid w:val="000F39B0"/>
    <w:rsid w:val="00104BEC"/>
    <w:rsid w:val="00107538"/>
    <w:rsid w:val="00107862"/>
    <w:rsid w:val="00117837"/>
    <w:rsid w:val="001227CF"/>
    <w:rsid w:val="001240CC"/>
    <w:rsid w:val="001241F9"/>
    <w:rsid w:val="00125442"/>
    <w:rsid w:val="001255C9"/>
    <w:rsid w:val="00130944"/>
    <w:rsid w:val="00130CEC"/>
    <w:rsid w:val="00134466"/>
    <w:rsid w:val="00134F1B"/>
    <w:rsid w:val="0013616F"/>
    <w:rsid w:val="0013696A"/>
    <w:rsid w:val="00137D88"/>
    <w:rsid w:val="00137F8F"/>
    <w:rsid w:val="00143289"/>
    <w:rsid w:val="00143C9B"/>
    <w:rsid w:val="001451A1"/>
    <w:rsid w:val="00146346"/>
    <w:rsid w:val="00151FDB"/>
    <w:rsid w:val="001534CE"/>
    <w:rsid w:val="00154197"/>
    <w:rsid w:val="00160B10"/>
    <w:rsid w:val="0016133D"/>
    <w:rsid w:val="00161504"/>
    <w:rsid w:val="001615A7"/>
    <w:rsid w:val="00162600"/>
    <w:rsid w:val="00163082"/>
    <w:rsid w:val="00165D98"/>
    <w:rsid w:val="00171011"/>
    <w:rsid w:val="001747C1"/>
    <w:rsid w:val="00177643"/>
    <w:rsid w:val="00181B9B"/>
    <w:rsid w:val="0018283D"/>
    <w:rsid w:val="00182A84"/>
    <w:rsid w:val="00183955"/>
    <w:rsid w:val="00186D70"/>
    <w:rsid w:val="00187E2D"/>
    <w:rsid w:val="00190470"/>
    <w:rsid w:val="00192F23"/>
    <w:rsid w:val="001931B2"/>
    <w:rsid w:val="00195AB3"/>
    <w:rsid w:val="00195F5A"/>
    <w:rsid w:val="001A27B5"/>
    <w:rsid w:val="001A3049"/>
    <w:rsid w:val="001A46D4"/>
    <w:rsid w:val="001A4F0A"/>
    <w:rsid w:val="001A64A2"/>
    <w:rsid w:val="001A79BB"/>
    <w:rsid w:val="001B760B"/>
    <w:rsid w:val="001C20BE"/>
    <w:rsid w:val="001C345E"/>
    <w:rsid w:val="001C65F2"/>
    <w:rsid w:val="001D4D8C"/>
    <w:rsid w:val="001D4DFC"/>
    <w:rsid w:val="001D5A3E"/>
    <w:rsid w:val="001D738B"/>
    <w:rsid w:val="001E2CC7"/>
    <w:rsid w:val="001E3167"/>
    <w:rsid w:val="001E34B2"/>
    <w:rsid w:val="001E3B05"/>
    <w:rsid w:val="001E5655"/>
    <w:rsid w:val="001E5B70"/>
    <w:rsid w:val="001F2987"/>
    <w:rsid w:val="001F2DA7"/>
    <w:rsid w:val="001F71E9"/>
    <w:rsid w:val="001F7295"/>
    <w:rsid w:val="00200BC6"/>
    <w:rsid w:val="002024BB"/>
    <w:rsid w:val="002054ED"/>
    <w:rsid w:val="002076DC"/>
    <w:rsid w:val="0021189D"/>
    <w:rsid w:val="00216B82"/>
    <w:rsid w:val="00217564"/>
    <w:rsid w:val="00217BDB"/>
    <w:rsid w:val="00220C2C"/>
    <w:rsid w:val="00220F2A"/>
    <w:rsid w:val="00222B7F"/>
    <w:rsid w:val="002326C2"/>
    <w:rsid w:val="00232FDE"/>
    <w:rsid w:val="00234A4E"/>
    <w:rsid w:val="00235144"/>
    <w:rsid w:val="002359FC"/>
    <w:rsid w:val="00237706"/>
    <w:rsid w:val="002401DF"/>
    <w:rsid w:val="00244CF1"/>
    <w:rsid w:val="002454A4"/>
    <w:rsid w:val="002473B3"/>
    <w:rsid w:val="002504C6"/>
    <w:rsid w:val="00253FAD"/>
    <w:rsid w:val="00257D2A"/>
    <w:rsid w:val="002600E4"/>
    <w:rsid w:val="0026084B"/>
    <w:rsid w:val="002638E6"/>
    <w:rsid w:val="00264C46"/>
    <w:rsid w:val="00265FB6"/>
    <w:rsid w:val="00270104"/>
    <w:rsid w:val="00271FD7"/>
    <w:rsid w:val="00272A28"/>
    <w:rsid w:val="00273840"/>
    <w:rsid w:val="00276599"/>
    <w:rsid w:val="002777DD"/>
    <w:rsid w:val="00277F5A"/>
    <w:rsid w:val="00280E59"/>
    <w:rsid w:val="0028278E"/>
    <w:rsid w:val="00282C32"/>
    <w:rsid w:val="002837DB"/>
    <w:rsid w:val="00287AEE"/>
    <w:rsid w:val="002923AA"/>
    <w:rsid w:val="002A1D56"/>
    <w:rsid w:val="002A4479"/>
    <w:rsid w:val="002A4917"/>
    <w:rsid w:val="002A50DB"/>
    <w:rsid w:val="002B5477"/>
    <w:rsid w:val="002B7076"/>
    <w:rsid w:val="002C0C1C"/>
    <w:rsid w:val="002C3A1E"/>
    <w:rsid w:val="002C47DC"/>
    <w:rsid w:val="002D2D25"/>
    <w:rsid w:val="002D40E6"/>
    <w:rsid w:val="002E0516"/>
    <w:rsid w:val="002E31CC"/>
    <w:rsid w:val="002E3371"/>
    <w:rsid w:val="002E4853"/>
    <w:rsid w:val="002E58F6"/>
    <w:rsid w:val="002E7854"/>
    <w:rsid w:val="002F0222"/>
    <w:rsid w:val="002F1476"/>
    <w:rsid w:val="002F1C38"/>
    <w:rsid w:val="002F1F14"/>
    <w:rsid w:val="002F22A4"/>
    <w:rsid w:val="003002EA"/>
    <w:rsid w:val="0030305B"/>
    <w:rsid w:val="003041BA"/>
    <w:rsid w:val="003073AA"/>
    <w:rsid w:val="00307FE0"/>
    <w:rsid w:val="003113F9"/>
    <w:rsid w:val="003163DB"/>
    <w:rsid w:val="0031659B"/>
    <w:rsid w:val="00320640"/>
    <w:rsid w:val="00320C3B"/>
    <w:rsid w:val="003224BC"/>
    <w:rsid w:val="00335264"/>
    <w:rsid w:val="0033637C"/>
    <w:rsid w:val="00337747"/>
    <w:rsid w:val="00337828"/>
    <w:rsid w:val="00341B04"/>
    <w:rsid w:val="0034213A"/>
    <w:rsid w:val="00345FC2"/>
    <w:rsid w:val="003516BD"/>
    <w:rsid w:val="003516C6"/>
    <w:rsid w:val="00354EF5"/>
    <w:rsid w:val="00360DCE"/>
    <w:rsid w:val="00362D0D"/>
    <w:rsid w:val="00364639"/>
    <w:rsid w:val="003670BD"/>
    <w:rsid w:val="00372850"/>
    <w:rsid w:val="00373A78"/>
    <w:rsid w:val="00375557"/>
    <w:rsid w:val="003804DD"/>
    <w:rsid w:val="00382123"/>
    <w:rsid w:val="003831DD"/>
    <w:rsid w:val="00384336"/>
    <w:rsid w:val="003855DD"/>
    <w:rsid w:val="0038572A"/>
    <w:rsid w:val="00391630"/>
    <w:rsid w:val="003A05F9"/>
    <w:rsid w:val="003A6628"/>
    <w:rsid w:val="003B1E0A"/>
    <w:rsid w:val="003C0A92"/>
    <w:rsid w:val="003C0FC0"/>
    <w:rsid w:val="003C1C8C"/>
    <w:rsid w:val="003C5425"/>
    <w:rsid w:val="003C6836"/>
    <w:rsid w:val="003D0214"/>
    <w:rsid w:val="003D1B8B"/>
    <w:rsid w:val="003D432C"/>
    <w:rsid w:val="003D7EE6"/>
    <w:rsid w:val="003E0EF1"/>
    <w:rsid w:val="003E1D26"/>
    <w:rsid w:val="003E3601"/>
    <w:rsid w:val="003E4555"/>
    <w:rsid w:val="003E47E5"/>
    <w:rsid w:val="003E54C5"/>
    <w:rsid w:val="003E7036"/>
    <w:rsid w:val="003F1250"/>
    <w:rsid w:val="003F1348"/>
    <w:rsid w:val="003F2D8E"/>
    <w:rsid w:val="003F2E0B"/>
    <w:rsid w:val="003F7980"/>
    <w:rsid w:val="0041799C"/>
    <w:rsid w:val="00426E75"/>
    <w:rsid w:val="0043119F"/>
    <w:rsid w:val="00431749"/>
    <w:rsid w:val="004354C1"/>
    <w:rsid w:val="00436C38"/>
    <w:rsid w:val="00443367"/>
    <w:rsid w:val="004444B8"/>
    <w:rsid w:val="00450E17"/>
    <w:rsid w:val="004615ED"/>
    <w:rsid w:val="00463D90"/>
    <w:rsid w:val="00464782"/>
    <w:rsid w:val="00466AC8"/>
    <w:rsid w:val="00467323"/>
    <w:rsid w:val="004679FB"/>
    <w:rsid w:val="00474FC8"/>
    <w:rsid w:val="004756D6"/>
    <w:rsid w:val="00475F74"/>
    <w:rsid w:val="00476C50"/>
    <w:rsid w:val="00477B8E"/>
    <w:rsid w:val="00484368"/>
    <w:rsid w:val="0048607A"/>
    <w:rsid w:val="00487C42"/>
    <w:rsid w:val="00493D41"/>
    <w:rsid w:val="00494A84"/>
    <w:rsid w:val="00494E84"/>
    <w:rsid w:val="00495B50"/>
    <w:rsid w:val="00497DD9"/>
    <w:rsid w:val="004A020C"/>
    <w:rsid w:val="004A1649"/>
    <w:rsid w:val="004A1D6C"/>
    <w:rsid w:val="004A5699"/>
    <w:rsid w:val="004A5A83"/>
    <w:rsid w:val="004A5D70"/>
    <w:rsid w:val="004A7326"/>
    <w:rsid w:val="004A73AC"/>
    <w:rsid w:val="004B0FAB"/>
    <w:rsid w:val="004B293F"/>
    <w:rsid w:val="004B2C1E"/>
    <w:rsid w:val="004B442B"/>
    <w:rsid w:val="004B5893"/>
    <w:rsid w:val="004B63C6"/>
    <w:rsid w:val="004B749F"/>
    <w:rsid w:val="004B7DAE"/>
    <w:rsid w:val="004C0415"/>
    <w:rsid w:val="004C0A42"/>
    <w:rsid w:val="004C573B"/>
    <w:rsid w:val="004D02DF"/>
    <w:rsid w:val="004D17CE"/>
    <w:rsid w:val="004D2160"/>
    <w:rsid w:val="004D5DFD"/>
    <w:rsid w:val="004D7178"/>
    <w:rsid w:val="004E028B"/>
    <w:rsid w:val="004E0AB1"/>
    <w:rsid w:val="004E0BD2"/>
    <w:rsid w:val="004E1920"/>
    <w:rsid w:val="004E3274"/>
    <w:rsid w:val="004E35C2"/>
    <w:rsid w:val="004E46DF"/>
    <w:rsid w:val="004E5F74"/>
    <w:rsid w:val="004E6CBA"/>
    <w:rsid w:val="005001C2"/>
    <w:rsid w:val="00500339"/>
    <w:rsid w:val="00501665"/>
    <w:rsid w:val="00501702"/>
    <w:rsid w:val="00502668"/>
    <w:rsid w:val="00502A8E"/>
    <w:rsid w:val="00504297"/>
    <w:rsid w:val="005051AB"/>
    <w:rsid w:val="0050730C"/>
    <w:rsid w:val="00510D70"/>
    <w:rsid w:val="00511AB7"/>
    <w:rsid w:val="005128CE"/>
    <w:rsid w:val="00512FC8"/>
    <w:rsid w:val="00513453"/>
    <w:rsid w:val="00513694"/>
    <w:rsid w:val="005147E7"/>
    <w:rsid w:val="00515342"/>
    <w:rsid w:val="005168FF"/>
    <w:rsid w:val="00517FCF"/>
    <w:rsid w:val="00521B26"/>
    <w:rsid w:val="00523101"/>
    <w:rsid w:val="0052726C"/>
    <w:rsid w:val="0053062A"/>
    <w:rsid w:val="005311A4"/>
    <w:rsid w:val="00531D32"/>
    <w:rsid w:val="00531F62"/>
    <w:rsid w:val="0053329C"/>
    <w:rsid w:val="00533485"/>
    <w:rsid w:val="00533741"/>
    <w:rsid w:val="00540E55"/>
    <w:rsid w:val="005414CE"/>
    <w:rsid w:val="005436F1"/>
    <w:rsid w:val="00543F94"/>
    <w:rsid w:val="00546D2D"/>
    <w:rsid w:val="005479BD"/>
    <w:rsid w:val="005516F5"/>
    <w:rsid w:val="005521C6"/>
    <w:rsid w:val="00556596"/>
    <w:rsid w:val="00556688"/>
    <w:rsid w:val="00556D46"/>
    <w:rsid w:val="005614E2"/>
    <w:rsid w:val="005648F8"/>
    <w:rsid w:val="005726CF"/>
    <w:rsid w:val="0057390C"/>
    <w:rsid w:val="0057394E"/>
    <w:rsid w:val="0057580E"/>
    <w:rsid w:val="0057719A"/>
    <w:rsid w:val="00580442"/>
    <w:rsid w:val="0058351F"/>
    <w:rsid w:val="00585EC2"/>
    <w:rsid w:val="00590ABE"/>
    <w:rsid w:val="0059165F"/>
    <w:rsid w:val="00591CA0"/>
    <w:rsid w:val="00592453"/>
    <w:rsid w:val="0059262E"/>
    <w:rsid w:val="005926EA"/>
    <w:rsid w:val="005932EF"/>
    <w:rsid w:val="005936E4"/>
    <w:rsid w:val="00594993"/>
    <w:rsid w:val="0059566A"/>
    <w:rsid w:val="00596F7C"/>
    <w:rsid w:val="00597218"/>
    <w:rsid w:val="005A07D0"/>
    <w:rsid w:val="005A180F"/>
    <w:rsid w:val="005A36E5"/>
    <w:rsid w:val="005A4B8A"/>
    <w:rsid w:val="005A4E50"/>
    <w:rsid w:val="005A513F"/>
    <w:rsid w:val="005A7C51"/>
    <w:rsid w:val="005C1FC6"/>
    <w:rsid w:val="005C60EE"/>
    <w:rsid w:val="005D0B77"/>
    <w:rsid w:val="005D7ADF"/>
    <w:rsid w:val="005E0F5E"/>
    <w:rsid w:val="005E2A2B"/>
    <w:rsid w:val="005E6115"/>
    <w:rsid w:val="005E6963"/>
    <w:rsid w:val="005E7EFB"/>
    <w:rsid w:val="005F1AA2"/>
    <w:rsid w:val="005F1D5B"/>
    <w:rsid w:val="005F3D64"/>
    <w:rsid w:val="005F4D04"/>
    <w:rsid w:val="005F5BF5"/>
    <w:rsid w:val="005F670E"/>
    <w:rsid w:val="005F6974"/>
    <w:rsid w:val="006009A9"/>
    <w:rsid w:val="006061AE"/>
    <w:rsid w:val="00606507"/>
    <w:rsid w:val="00611713"/>
    <w:rsid w:val="006206CB"/>
    <w:rsid w:val="0062177F"/>
    <w:rsid w:val="00622306"/>
    <w:rsid w:val="0062445F"/>
    <w:rsid w:val="00625147"/>
    <w:rsid w:val="00626A97"/>
    <w:rsid w:val="00631DCD"/>
    <w:rsid w:val="0063309F"/>
    <w:rsid w:val="0063511C"/>
    <w:rsid w:val="00635784"/>
    <w:rsid w:val="006413BB"/>
    <w:rsid w:val="00641FB3"/>
    <w:rsid w:val="0064470E"/>
    <w:rsid w:val="0065079A"/>
    <w:rsid w:val="00651F15"/>
    <w:rsid w:val="006525FC"/>
    <w:rsid w:val="006547CA"/>
    <w:rsid w:val="00656BED"/>
    <w:rsid w:val="006644D2"/>
    <w:rsid w:val="006648E2"/>
    <w:rsid w:val="00667686"/>
    <w:rsid w:val="006743D8"/>
    <w:rsid w:val="00674513"/>
    <w:rsid w:val="00684A49"/>
    <w:rsid w:val="0068554B"/>
    <w:rsid w:val="00686F04"/>
    <w:rsid w:val="00690EA5"/>
    <w:rsid w:val="00693758"/>
    <w:rsid w:val="00694029"/>
    <w:rsid w:val="00695970"/>
    <w:rsid w:val="006A0412"/>
    <w:rsid w:val="006A4111"/>
    <w:rsid w:val="006A747B"/>
    <w:rsid w:val="006A75B9"/>
    <w:rsid w:val="006B14C4"/>
    <w:rsid w:val="006B302B"/>
    <w:rsid w:val="006B325D"/>
    <w:rsid w:val="006B3424"/>
    <w:rsid w:val="006B397C"/>
    <w:rsid w:val="006C1E30"/>
    <w:rsid w:val="006C22C4"/>
    <w:rsid w:val="006C3264"/>
    <w:rsid w:val="006C44F9"/>
    <w:rsid w:val="006D1458"/>
    <w:rsid w:val="006D2C45"/>
    <w:rsid w:val="006D60FE"/>
    <w:rsid w:val="006D61F5"/>
    <w:rsid w:val="006E22A1"/>
    <w:rsid w:val="006E3774"/>
    <w:rsid w:val="006E41C8"/>
    <w:rsid w:val="006E4D53"/>
    <w:rsid w:val="006E565F"/>
    <w:rsid w:val="006E6D71"/>
    <w:rsid w:val="006F2097"/>
    <w:rsid w:val="00700F94"/>
    <w:rsid w:val="0070190E"/>
    <w:rsid w:val="00704C8A"/>
    <w:rsid w:val="0071435F"/>
    <w:rsid w:val="00714503"/>
    <w:rsid w:val="00717074"/>
    <w:rsid w:val="00717F18"/>
    <w:rsid w:val="00717FEE"/>
    <w:rsid w:val="007210BF"/>
    <w:rsid w:val="00721A0E"/>
    <w:rsid w:val="00723C53"/>
    <w:rsid w:val="00726613"/>
    <w:rsid w:val="007274EC"/>
    <w:rsid w:val="00727A1B"/>
    <w:rsid w:val="0073629E"/>
    <w:rsid w:val="00736548"/>
    <w:rsid w:val="007370E0"/>
    <w:rsid w:val="00737D9F"/>
    <w:rsid w:val="0074000A"/>
    <w:rsid w:val="00742078"/>
    <w:rsid w:val="0074692A"/>
    <w:rsid w:val="0075384A"/>
    <w:rsid w:val="00761E19"/>
    <w:rsid w:val="00763303"/>
    <w:rsid w:val="00766EF0"/>
    <w:rsid w:val="00767C38"/>
    <w:rsid w:val="00767F9B"/>
    <w:rsid w:val="007776B3"/>
    <w:rsid w:val="007805B9"/>
    <w:rsid w:val="0078133C"/>
    <w:rsid w:val="00781DD6"/>
    <w:rsid w:val="00783907"/>
    <w:rsid w:val="00787AF2"/>
    <w:rsid w:val="007920B9"/>
    <w:rsid w:val="00793683"/>
    <w:rsid w:val="00795230"/>
    <w:rsid w:val="007A2763"/>
    <w:rsid w:val="007A3E52"/>
    <w:rsid w:val="007A498B"/>
    <w:rsid w:val="007A5D28"/>
    <w:rsid w:val="007A65D1"/>
    <w:rsid w:val="007B10B7"/>
    <w:rsid w:val="007B12BB"/>
    <w:rsid w:val="007B33CA"/>
    <w:rsid w:val="007B6027"/>
    <w:rsid w:val="007C1AF3"/>
    <w:rsid w:val="007C25F7"/>
    <w:rsid w:val="007C7AC7"/>
    <w:rsid w:val="007D125F"/>
    <w:rsid w:val="007D2846"/>
    <w:rsid w:val="007D2E15"/>
    <w:rsid w:val="007D5540"/>
    <w:rsid w:val="007D658C"/>
    <w:rsid w:val="007D6D66"/>
    <w:rsid w:val="007E501D"/>
    <w:rsid w:val="007E78A1"/>
    <w:rsid w:val="007F0C19"/>
    <w:rsid w:val="007F31DC"/>
    <w:rsid w:val="007F4839"/>
    <w:rsid w:val="007F5850"/>
    <w:rsid w:val="007F5F80"/>
    <w:rsid w:val="00800901"/>
    <w:rsid w:val="008028CF"/>
    <w:rsid w:val="00803BA9"/>
    <w:rsid w:val="008055DC"/>
    <w:rsid w:val="00817DD2"/>
    <w:rsid w:val="00821810"/>
    <w:rsid w:val="00824F74"/>
    <w:rsid w:val="00825E93"/>
    <w:rsid w:val="00827DDF"/>
    <w:rsid w:val="00830785"/>
    <w:rsid w:val="008320B7"/>
    <w:rsid w:val="0083286E"/>
    <w:rsid w:val="008350CE"/>
    <w:rsid w:val="00837F90"/>
    <w:rsid w:val="0084085B"/>
    <w:rsid w:val="00842BF0"/>
    <w:rsid w:val="00843EFC"/>
    <w:rsid w:val="00844C83"/>
    <w:rsid w:val="0084528C"/>
    <w:rsid w:val="00846C55"/>
    <w:rsid w:val="00850EE9"/>
    <w:rsid w:val="0085188F"/>
    <w:rsid w:val="008545DA"/>
    <w:rsid w:val="00860E87"/>
    <w:rsid w:val="00866383"/>
    <w:rsid w:val="00870EA3"/>
    <w:rsid w:val="00871095"/>
    <w:rsid w:val="00872876"/>
    <w:rsid w:val="00872973"/>
    <w:rsid w:val="0087399C"/>
    <w:rsid w:val="00877762"/>
    <w:rsid w:val="00882F3B"/>
    <w:rsid w:val="00883504"/>
    <w:rsid w:val="008913C8"/>
    <w:rsid w:val="0089492B"/>
    <w:rsid w:val="00894F0F"/>
    <w:rsid w:val="00895406"/>
    <w:rsid w:val="008957EE"/>
    <w:rsid w:val="00895D30"/>
    <w:rsid w:val="008973D0"/>
    <w:rsid w:val="008A0EA8"/>
    <w:rsid w:val="008A169E"/>
    <w:rsid w:val="008A2648"/>
    <w:rsid w:val="008A2820"/>
    <w:rsid w:val="008A2D6D"/>
    <w:rsid w:val="008A2F11"/>
    <w:rsid w:val="008A30EE"/>
    <w:rsid w:val="008A3110"/>
    <w:rsid w:val="008A3D35"/>
    <w:rsid w:val="008A4D00"/>
    <w:rsid w:val="008A564B"/>
    <w:rsid w:val="008A5E6F"/>
    <w:rsid w:val="008B0500"/>
    <w:rsid w:val="008B09DF"/>
    <w:rsid w:val="008B1DCE"/>
    <w:rsid w:val="008B3E40"/>
    <w:rsid w:val="008B577D"/>
    <w:rsid w:val="008C0ED0"/>
    <w:rsid w:val="008C1B44"/>
    <w:rsid w:val="008C1EBC"/>
    <w:rsid w:val="008C2F0C"/>
    <w:rsid w:val="008C4331"/>
    <w:rsid w:val="008C6A5F"/>
    <w:rsid w:val="008C7255"/>
    <w:rsid w:val="008D01F7"/>
    <w:rsid w:val="008D17F5"/>
    <w:rsid w:val="008D237F"/>
    <w:rsid w:val="008D4A3E"/>
    <w:rsid w:val="008E2912"/>
    <w:rsid w:val="008E438A"/>
    <w:rsid w:val="008E6417"/>
    <w:rsid w:val="008F2449"/>
    <w:rsid w:val="008F24E8"/>
    <w:rsid w:val="008F3746"/>
    <w:rsid w:val="008F785C"/>
    <w:rsid w:val="0090103F"/>
    <w:rsid w:val="00903168"/>
    <w:rsid w:val="00904181"/>
    <w:rsid w:val="0090467D"/>
    <w:rsid w:val="00906211"/>
    <w:rsid w:val="00910B92"/>
    <w:rsid w:val="009129CD"/>
    <w:rsid w:val="00915D99"/>
    <w:rsid w:val="00915F0E"/>
    <w:rsid w:val="00916A9C"/>
    <w:rsid w:val="00917133"/>
    <w:rsid w:val="00921A81"/>
    <w:rsid w:val="009254DF"/>
    <w:rsid w:val="0093087A"/>
    <w:rsid w:val="00930B8A"/>
    <w:rsid w:val="00931A18"/>
    <w:rsid w:val="00932B79"/>
    <w:rsid w:val="009361CA"/>
    <w:rsid w:val="009376AD"/>
    <w:rsid w:val="00940A17"/>
    <w:rsid w:val="00941B58"/>
    <w:rsid w:val="00944634"/>
    <w:rsid w:val="0094579C"/>
    <w:rsid w:val="00945D0F"/>
    <w:rsid w:val="009473DC"/>
    <w:rsid w:val="0095152B"/>
    <w:rsid w:val="00955D29"/>
    <w:rsid w:val="00956FEC"/>
    <w:rsid w:val="00960663"/>
    <w:rsid w:val="00962536"/>
    <w:rsid w:val="00967898"/>
    <w:rsid w:val="009711AD"/>
    <w:rsid w:val="00972282"/>
    <w:rsid w:val="00972C40"/>
    <w:rsid w:val="00977C17"/>
    <w:rsid w:val="00984789"/>
    <w:rsid w:val="00986985"/>
    <w:rsid w:val="00986B7F"/>
    <w:rsid w:val="009900E1"/>
    <w:rsid w:val="0099784C"/>
    <w:rsid w:val="009A3F6C"/>
    <w:rsid w:val="009A4584"/>
    <w:rsid w:val="009A5A96"/>
    <w:rsid w:val="009B4B12"/>
    <w:rsid w:val="009B50EF"/>
    <w:rsid w:val="009C24B6"/>
    <w:rsid w:val="009C4D3F"/>
    <w:rsid w:val="009C6D2E"/>
    <w:rsid w:val="009C7EC9"/>
    <w:rsid w:val="009D0F0E"/>
    <w:rsid w:val="009D2634"/>
    <w:rsid w:val="009D38D9"/>
    <w:rsid w:val="009D4349"/>
    <w:rsid w:val="009D4E86"/>
    <w:rsid w:val="009D5E57"/>
    <w:rsid w:val="009D6E8E"/>
    <w:rsid w:val="009E258B"/>
    <w:rsid w:val="009E3504"/>
    <w:rsid w:val="009E46F7"/>
    <w:rsid w:val="009E7953"/>
    <w:rsid w:val="009F2307"/>
    <w:rsid w:val="009F6E36"/>
    <w:rsid w:val="00A01AC9"/>
    <w:rsid w:val="00A02ED1"/>
    <w:rsid w:val="00A12C07"/>
    <w:rsid w:val="00A13C30"/>
    <w:rsid w:val="00A24215"/>
    <w:rsid w:val="00A24655"/>
    <w:rsid w:val="00A25964"/>
    <w:rsid w:val="00A30509"/>
    <w:rsid w:val="00A315B1"/>
    <w:rsid w:val="00A32D0C"/>
    <w:rsid w:val="00A341C7"/>
    <w:rsid w:val="00A422AF"/>
    <w:rsid w:val="00A429A1"/>
    <w:rsid w:val="00A51D9C"/>
    <w:rsid w:val="00A53FE4"/>
    <w:rsid w:val="00A562E5"/>
    <w:rsid w:val="00A601AC"/>
    <w:rsid w:val="00A611A6"/>
    <w:rsid w:val="00A65069"/>
    <w:rsid w:val="00A66042"/>
    <w:rsid w:val="00A707C6"/>
    <w:rsid w:val="00A731EB"/>
    <w:rsid w:val="00A751CE"/>
    <w:rsid w:val="00A80D3B"/>
    <w:rsid w:val="00A8189C"/>
    <w:rsid w:val="00A833A0"/>
    <w:rsid w:val="00A86F26"/>
    <w:rsid w:val="00A874D9"/>
    <w:rsid w:val="00A912B7"/>
    <w:rsid w:val="00A94396"/>
    <w:rsid w:val="00A964B5"/>
    <w:rsid w:val="00AA0663"/>
    <w:rsid w:val="00AA0858"/>
    <w:rsid w:val="00AB0B66"/>
    <w:rsid w:val="00AB117C"/>
    <w:rsid w:val="00AB11AB"/>
    <w:rsid w:val="00AB1873"/>
    <w:rsid w:val="00AB1CA3"/>
    <w:rsid w:val="00AB1F92"/>
    <w:rsid w:val="00AB24B7"/>
    <w:rsid w:val="00AB79FA"/>
    <w:rsid w:val="00AB7A7F"/>
    <w:rsid w:val="00AC44C6"/>
    <w:rsid w:val="00AC6000"/>
    <w:rsid w:val="00AC631C"/>
    <w:rsid w:val="00AC76A5"/>
    <w:rsid w:val="00AC76C6"/>
    <w:rsid w:val="00AD0A8D"/>
    <w:rsid w:val="00AD1331"/>
    <w:rsid w:val="00AD1928"/>
    <w:rsid w:val="00AD5AA4"/>
    <w:rsid w:val="00AD5D0F"/>
    <w:rsid w:val="00AE00CE"/>
    <w:rsid w:val="00AE18BB"/>
    <w:rsid w:val="00AE21A0"/>
    <w:rsid w:val="00AE2AB8"/>
    <w:rsid w:val="00AE446D"/>
    <w:rsid w:val="00AF1D2F"/>
    <w:rsid w:val="00AF227F"/>
    <w:rsid w:val="00AF3190"/>
    <w:rsid w:val="00AF681B"/>
    <w:rsid w:val="00AF7C7B"/>
    <w:rsid w:val="00B02DAE"/>
    <w:rsid w:val="00B04636"/>
    <w:rsid w:val="00B05BF1"/>
    <w:rsid w:val="00B06A57"/>
    <w:rsid w:val="00B115E2"/>
    <w:rsid w:val="00B206EA"/>
    <w:rsid w:val="00B20785"/>
    <w:rsid w:val="00B2151F"/>
    <w:rsid w:val="00B224D2"/>
    <w:rsid w:val="00B22F51"/>
    <w:rsid w:val="00B24951"/>
    <w:rsid w:val="00B25548"/>
    <w:rsid w:val="00B27143"/>
    <w:rsid w:val="00B314E2"/>
    <w:rsid w:val="00B33D53"/>
    <w:rsid w:val="00B350F6"/>
    <w:rsid w:val="00B374E2"/>
    <w:rsid w:val="00B438BF"/>
    <w:rsid w:val="00B5016B"/>
    <w:rsid w:val="00B517A6"/>
    <w:rsid w:val="00B5237D"/>
    <w:rsid w:val="00B54057"/>
    <w:rsid w:val="00B542EC"/>
    <w:rsid w:val="00B544E3"/>
    <w:rsid w:val="00B6159C"/>
    <w:rsid w:val="00B62FAA"/>
    <w:rsid w:val="00B63F04"/>
    <w:rsid w:val="00B7013B"/>
    <w:rsid w:val="00B723FE"/>
    <w:rsid w:val="00B72C1A"/>
    <w:rsid w:val="00B74EBA"/>
    <w:rsid w:val="00B771FF"/>
    <w:rsid w:val="00B77A43"/>
    <w:rsid w:val="00B77EAE"/>
    <w:rsid w:val="00B803C0"/>
    <w:rsid w:val="00B85B7B"/>
    <w:rsid w:val="00B8766E"/>
    <w:rsid w:val="00B87840"/>
    <w:rsid w:val="00B879F7"/>
    <w:rsid w:val="00B93090"/>
    <w:rsid w:val="00BA001A"/>
    <w:rsid w:val="00BA3090"/>
    <w:rsid w:val="00BA3869"/>
    <w:rsid w:val="00BA446F"/>
    <w:rsid w:val="00BA4AC4"/>
    <w:rsid w:val="00BA7A4C"/>
    <w:rsid w:val="00BB21C4"/>
    <w:rsid w:val="00BB2776"/>
    <w:rsid w:val="00BC1DA0"/>
    <w:rsid w:val="00BC3129"/>
    <w:rsid w:val="00BC4377"/>
    <w:rsid w:val="00BC57BD"/>
    <w:rsid w:val="00BC60B7"/>
    <w:rsid w:val="00BC79CC"/>
    <w:rsid w:val="00BD0037"/>
    <w:rsid w:val="00BD3168"/>
    <w:rsid w:val="00BD5C6C"/>
    <w:rsid w:val="00BD77E4"/>
    <w:rsid w:val="00BE1237"/>
    <w:rsid w:val="00BE479C"/>
    <w:rsid w:val="00BE640E"/>
    <w:rsid w:val="00BF40BC"/>
    <w:rsid w:val="00C00239"/>
    <w:rsid w:val="00C0582B"/>
    <w:rsid w:val="00C07D79"/>
    <w:rsid w:val="00C10B71"/>
    <w:rsid w:val="00C170B7"/>
    <w:rsid w:val="00C17DDB"/>
    <w:rsid w:val="00C2241F"/>
    <w:rsid w:val="00C2279C"/>
    <w:rsid w:val="00C25FD1"/>
    <w:rsid w:val="00C27305"/>
    <w:rsid w:val="00C30C96"/>
    <w:rsid w:val="00C31718"/>
    <w:rsid w:val="00C32C8B"/>
    <w:rsid w:val="00C34B51"/>
    <w:rsid w:val="00C42272"/>
    <w:rsid w:val="00C43B13"/>
    <w:rsid w:val="00C517AC"/>
    <w:rsid w:val="00C52897"/>
    <w:rsid w:val="00C56E4F"/>
    <w:rsid w:val="00C609E0"/>
    <w:rsid w:val="00C651CA"/>
    <w:rsid w:val="00C65BF9"/>
    <w:rsid w:val="00C67576"/>
    <w:rsid w:val="00C675EC"/>
    <w:rsid w:val="00C711F5"/>
    <w:rsid w:val="00C72A15"/>
    <w:rsid w:val="00C76883"/>
    <w:rsid w:val="00C80549"/>
    <w:rsid w:val="00C808A8"/>
    <w:rsid w:val="00C81584"/>
    <w:rsid w:val="00C81C6A"/>
    <w:rsid w:val="00C81D80"/>
    <w:rsid w:val="00C84D3D"/>
    <w:rsid w:val="00C850F7"/>
    <w:rsid w:val="00C855ED"/>
    <w:rsid w:val="00C8640B"/>
    <w:rsid w:val="00C865D7"/>
    <w:rsid w:val="00C901E1"/>
    <w:rsid w:val="00C96A63"/>
    <w:rsid w:val="00C97353"/>
    <w:rsid w:val="00C977FB"/>
    <w:rsid w:val="00CA1EE2"/>
    <w:rsid w:val="00CA38CF"/>
    <w:rsid w:val="00CA5889"/>
    <w:rsid w:val="00CA76B1"/>
    <w:rsid w:val="00CB34DD"/>
    <w:rsid w:val="00CB5A71"/>
    <w:rsid w:val="00CC347B"/>
    <w:rsid w:val="00CC455A"/>
    <w:rsid w:val="00CC6561"/>
    <w:rsid w:val="00CD0E6A"/>
    <w:rsid w:val="00CD1758"/>
    <w:rsid w:val="00CD5100"/>
    <w:rsid w:val="00CE0760"/>
    <w:rsid w:val="00CE214B"/>
    <w:rsid w:val="00CE347B"/>
    <w:rsid w:val="00CE7584"/>
    <w:rsid w:val="00CF044C"/>
    <w:rsid w:val="00CF28C8"/>
    <w:rsid w:val="00CF74C1"/>
    <w:rsid w:val="00CF756E"/>
    <w:rsid w:val="00D0356E"/>
    <w:rsid w:val="00D0373C"/>
    <w:rsid w:val="00D06189"/>
    <w:rsid w:val="00D1005E"/>
    <w:rsid w:val="00D107D5"/>
    <w:rsid w:val="00D10E0E"/>
    <w:rsid w:val="00D140BF"/>
    <w:rsid w:val="00D15AA7"/>
    <w:rsid w:val="00D16830"/>
    <w:rsid w:val="00D21BCB"/>
    <w:rsid w:val="00D223E0"/>
    <w:rsid w:val="00D2696D"/>
    <w:rsid w:val="00D344ED"/>
    <w:rsid w:val="00D4269D"/>
    <w:rsid w:val="00D4615B"/>
    <w:rsid w:val="00D461B5"/>
    <w:rsid w:val="00D46557"/>
    <w:rsid w:val="00D47F2E"/>
    <w:rsid w:val="00D501E1"/>
    <w:rsid w:val="00D503DA"/>
    <w:rsid w:val="00D519C0"/>
    <w:rsid w:val="00D542E5"/>
    <w:rsid w:val="00D5485C"/>
    <w:rsid w:val="00D54B7B"/>
    <w:rsid w:val="00D57275"/>
    <w:rsid w:val="00D63747"/>
    <w:rsid w:val="00D6525A"/>
    <w:rsid w:val="00D67CAB"/>
    <w:rsid w:val="00D71274"/>
    <w:rsid w:val="00D73872"/>
    <w:rsid w:val="00D74FB8"/>
    <w:rsid w:val="00D82432"/>
    <w:rsid w:val="00D83C88"/>
    <w:rsid w:val="00D86B4E"/>
    <w:rsid w:val="00D90694"/>
    <w:rsid w:val="00D90FA1"/>
    <w:rsid w:val="00D93FAD"/>
    <w:rsid w:val="00DA17BF"/>
    <w:rsid w:val="00DA592F"/>
    <w:rsid w:val="00DA5ED9"/>
    <w:rsid w:val="00DB1A0C"/>
    <w:rsid w:val="00DB3B14"/>
    <w:rsid w:val="00DC1AE4"/>
    <w:rsid w:val="00DC1DA6"/>
    <w:rsid w:val="00DC523E"/>
    <w:rsid w:val="00DD284D"/>
    <w:rsid w:val="00DD30F2"/>
    <w:rsid w:val="00DD4FDC"/>
    <w:rsid w:val="00DE35CA"/>
    <w:rsid w:val="00DE4560"/>
    <w:rsid w:val="00DF043D"/>
    <w:rsid w:val="00DF106D"/>
    <w:rsid w:val="00DF1D36"/>
    <w:rsid w:val="00DF2638"/>
    <w:rsid w:val="00DF3F0B"/>
    <w:rsid w:val="00E0700C"/>
    <w:rsid w:val="00E0720A"/>
    <w:rsid w:val="00E07E3D"/>
    <w:rsid w:val="00E14080"/>
    <w:rsid w:val="00E1598B"/>
    <w:rsid w:val="00E16F2B"/>
    <w:rsid w:val="00E22DE1"/>
    <w:rsid w:val="00E23905"/>
    <w:rsid w:val="00E24120"/>
    <w:rsid w:val="00E3059B"/>
    <w:rsid w:val="00E30F77"/>
    <w:rsid w:val="00E311C0"/>
    <w:rsid w:val="00E33274"/>
    <w:rsid w:val="00E3532A"/>
    <w:rsid w:val="00E40ADB"/>
    <w:rsid w:val="00E411B0"/>
    <w:rsid w:val="00E4591E"/>
    <w:rsid w:val="00E45CFD"/>
    <w:rsid w:val="00E45FB7"/>
    <w:rsid w:val="00E476C0"/>
    <w:rsid w:val="00E53097"/>
    <w:rsid w:val="00E539FA"/>
    <w:rsid w:val="00E55299"/>
    <w:rsid w:val="00E557B7"/>
    <w:rsid w:val="00E631AF"/>
    <w:rsid w:val="00E6385D"/>
    <w:rsid w:val="00E63D13"/>
    <w:rsid w:val="00E63D6C"/>
    <w:rsid w:val="00E665C4"/>
    <w:rsid w:val="00E675B4"/>
    <w:rsid w:val="00E70C3E"/>
    <w:rsid w:val="00E71A17"/>
    <w:rsid w:val="00E71AC6"/>
    <w:rsid w:val="00E71EAD"/>
    <w:rsid w:val="00E74638"/>
    <w:rsid w:val="00E75938"/>
    <w:rsid w:val="00E76927"/>
    <w:rsid w:val="00E83B37"/>
    <w:rsid w:val="00E870CA"/>
    <w:rsid w:val="00E87111"/>
    <w:rsid w:val="00E877B7"/>
    <w:rsid w:val="00E91D8C"/>
    <w:rsid w:val="00E94CC9"/>
    <w:rsid w:val="00E9519C"/>
    <w:rsid w:val="00E960D7"/>
    <w:rsid w:val="00E96F67"/>
    <w:rsid w:val="00E97B53"/>
    <w:rsid w:val="00EA0511"/>
    <w:rsid w:val="00EA2B24"/>
    <w:rsid w:val="00EA5C92"/>
    <w:rsid w:val="00EB04D4"/>
    <w:rsid w:val="00EB2A32"/>
    <w:rsid w:val="00EB2F03"/>
    <w:rsid w:val="00EB3322"/>
    <w:rsid w:val="00EC64C1"/>
    <w:rsid w:val="00ED1783"/>
    <w:rsid w:val="00ED22FF"/>
    <w:rsid w:val="00ED4985"/>
    <w:rsid w:val="00ED53E7"/>
    <w:rsid w:val="00ED6992"/>
    <w:rsid w:val="00ED6D7E"/>
    <w:rsid w:val="00EE1C63"/>
    <w:rsid w:val="00EE3EAB"/>
    <w:rsid w:val="00EE5968"/>
    <w:rsid w:val="00EE5FFA"/>
    <w:rsid w:val="00EE69F1"/>
    <w:rsid w:val="00EF197F"/>
    <w:rsid w:val="00EF2D84"/>
    <w:rsid w:val="00EF40BA"/>
    <w:rsid w:val="00EF4428"/>
    <w:rsid w:val="00EF6A8A"/>
    <w:rsid w:val="00F000EE"/>
    <w:rsid w:val="00F02802"/>
    <w:rsid w:val="00F05339"/>
    <w:rsid w:val="00F12207"/>
    <w:rsid w:val="00F16447"/>
    <w:rsid w:val="00F16D2E"/>
    <w:rsid w:val="00F16F6F"/>
    <w:rsid w:val="00F246FC"/>
    <w:rsid w:val="00F31323"/>
    <w:rsid w:val="00F3352B"/>
    <w:rsid w:val="00F33728"/>
    <w:rsid w:val="00F4290A"/>
    <w:rsid w:val="00F43D8B"/>
    <w:rsid w:val="00F46B48"/>
    <w:rsid w:val="00F4727C"/>
    <w:rsid w:val="00F473EB"/>
    <w:rsid w:val="00F525D8"/>
    <w:rsid w:val="00F53E21"/>
    <w:rsid w:val="00F5767B"/>
    <w:rsid w:val="00F61A23"/>
    <w:rsid w:val="00F67343"/>
    <w:rsid w:val="00F67B51"/>
    <w:rsid w:val="00F7260C"/>
    <w:rsid w:val="00F80BF6"/>
    <w:rsid w:val="00F811CF"/>
    <w:rsid w:val="00F81FEF"/>
    <w:rsid w:val="00F8421D"/>
    <w:rsid w:val="00F853AB"/>
    <w:rsid w:val="00F86C8B"/>
    <w:rsid w:val="00F9322B"/>
    <w:rsid w:val="00F93674"/>
    <w:rsid w:val="00F94BC5"/>
    <w:rsid w:val="00F9567A"/>
    <w:rsid w:val="00F97C46"/>
    <w:rsid w:val="00FA1C3F"/>
    <w:rsid w:val="00FA4796"/>
    <w:rsid w:val="00FA4819"/>
    <w:rsid w:val="00FA49BA"/>
    <w:rsid w:val="00FA6497"/>
    <w:rsid w:val="00FA653D"/>
    <w:rsid w:val="00FB03FE"/>
    <w:rsid w:val="00FB13E4"/>
    <w:rsid w:val="00FB253E"/>
    <w:rsid w:val="00FB2C80"/>
    <w:rsid w:val="00FB56DE"/>
    <w:rsid w:val="00FB619A"/>
    <w:rsid w:val="00FC3318"/>
    <w:rsid w:val="00FD014E"/>
    <w:rsid w:val="00FD13F9"/>
    <w:rsid w:val="00FD5084"/>
    <w:rsid w:val="00FE06B0"/>
    <w:rsid w:val="00FE0956"/>
    <w:rsid w:val="00FE0A6E"/>
    <w:rsid w:val="00FE3190"/>
    <w:rsid w:val="00FE363A"/>
    <w:rsid w:val="00FF24C9"/>
    <w:rsid w:val="00FF587F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F1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A2F11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rsid w:val="008A2F11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8A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2F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">
    <w:name w:val="Body"/>
    <w:rsid w:val="008A2F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0" w:line="240" w:lineRule="auto"/>
    </w:pPr>
    <w:rPr>
      <w:rFonts w:ascii="Calibri" w:eastAsia="Times New Roman" w:hAnsi="Calibri" w:cs="Calibri"/>
      <w:color w:val="000000"/>
      <w:u w:color="000000"/>
      <w:lang w:val="cs-CZ"/>
    </w:rPr>
  </w:style>
  <w:style w:type="character" w:styleId="Emphasis">
    <w:name w:val="Emphasis"/>
    <w:qFormat/>
    <w:rsid w:val="008A2F11"/>
    <w:rPr>
      <w:i/>
      <w:iCs/>
    </w:rPr>
  </w:style>
  <w:style w:type="character" w:customStyle="1" w:styleId="apple-converted-space">
    <w:name w:val="apple-converted-space"/>
    <w:basedOn w:val="DefaultParagraphFont"/>
    <w:rsid w:val="008A2F11"/>
  </w:style>
  <w:style w:type="paragraph" w:styleId="BalloonText">
    <w:name w:val="Balloon Text"/>
    <w:basedOn w:val="Normal"/>
    <w:link w:val="BalloonTextChar"/>
    <w:uiPriority w:val="99"/>
    <w:semiHidden/>
    <w:unhideWhenUsed/>
    <w:rsid w:val="008A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F1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A2F11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rsid w:val="008A2F11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8A2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2F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">
    <w:name w:val="Body"/>
    <w:rsid w:val="008A2F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 w:after="0" w:line="240" w:lineRule="auto"/>
    </w:pPr>
    <w:rPr>
      <w:rFonts w:ascii="Calibri" w:eastAsia="Times New Roman" w:hAnsi="Calibri" w:cs="Calibri"/>
      <w:color w:val="000000"/>
      <w:u w:color="000000"/>
      <w:lang w:val="cs-CZ"/>
    </w:rPr>
  </w:style>
  <w:style w:type="character" w:styleId="Emphasis">
    <w:name w:val="Emphasis"/>
    <w:qFormat/>
    <w:rsid w:val="008A2F11"/>
    <w:rPr>
      <w:i/>
      <w:iCs/>
    </w:rPr>
  </w:style>
  <w:style w:type="character" w:customStyle="1" w:styleId="apple-converted-space">
    <w:name w:val="apple-converted-space"/>
    <w:basedOn w:val="DefaultParagraphFont"/>
    <w:rsid w:val="008A2F11"/>
  </w:style>
  <w:style w:type="paragraph" w:styleId="BalloonText">
    <w:name w:val="Balloon Text"/>
    <w:basedOn w:val="Normal"/>
    <w:link w:val="BalloonTextChar"/>
    <w:uiPriority w:val="99"/>
    <w:semiHidden/>
    <w:unhideWhenUsed/>
    <w:rsid w:val="008A2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1511</Words>
  <Characters>8618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Jurgita-PC</dc:creator>
  <cp:lastModifiedBy>Naomi Smook</cp:lastModifiedBy>
  <cp:revision>2</cp:revision>
  <dcterms:created xsi:type="dcterms:W3CDTF">2016-12-15T13:58:00Z</dcterms:created>
  <dcterms:modified xsi:type="dcterms:W3CDTF">2016-12-15T13:58:00Z</dcterms:modified>
</cp:coreProperties>
</file>